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AC" w:rsidRPr="004A0F7F" w:rsidRDefault="00724AAC" w:rsidP="00724A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A46B55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724AAC" w:rsidRPr="00522FF3" w:rsidRDefault="00724AAC" w:rsidP="00724AA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22FF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встановлення ставок єдиного податку на території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міської територіальної громади» </w:t>
      </w:r>
    </w:p>
    <w:p w:rsidR="00724AAC" w:rsidRPr="00B4171C" w:rsidRDefault="00724AAC" w:rsidP="00724AAC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24AAC" w:rsidRPr="00020F1F" w:rsidRDefault="00724AAC" w:rsidP="00724AAC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 w:rsidRPr="00020F1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1307-13-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</w:t>
      </w:r>
      <w:r>
        <w:rPr>
          <w:rFonts w:ascii="Times New Roman" w:hAnsi="Times New Roman"/>
          <w:sz w:val="24"/>
          <w:szCs w:val="24"/>
          <w:lang w:val="uk-UA" w:eastAsia="ru-RU"/>
        </w:rPr>
        <w:t>єдиного податку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на території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24AAC" w:rsidRPr="00F13824" w:rsidRDefault="00724AAC" w:rsidP="00724AAC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24AAC" w:rsidRPr="004A0F7F" w:rsidRDefault="00724AAC" w:rsidP="00724AA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724AAC" w:rsidRPr="004A0F7F" w:rsidRDefault="00724AAC" w:rsidP="00724AAC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24AAC" w:rsidRDefault="00724AAC" w:rsidP="00724AAC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місцевих податків і зборів, а саме </w:t>
      </w:r>
      <w:r>
        <w:rPr>
          <w:rFonts w:ascii="Times New Roman" w:hAnsi="Times New Roman"/>
          <w:sz w:val="24"/>
          <w:szCs w:val="24"/>
          <w:lang w:val="uk-UA"/>
        </w:rPr>
        <w:t>єдиного податку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724AAC" w:rsidRDefault="00EF5216" w:rsidP="00724AAC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підтримка та розвиток малого та середнього бізнесу</w:t>
      </w:r>
      <w:r w:rsidR="00724AAC">
        <w:rPr>
          <w:rFonts w:ascii="Times New Roman" w:hAnsi="Times New Roman"/>
          <w:sz w:val="24"/>
          <w:szCs w:val="24"/>
          <w:lang w:val="uk-UA"/>
        </w:rPr>
        <w:t>;</w:t>
      </w:r>
    </w:p>
    <w:p w:rsidR="00EF5216" w:rsidRPr="00125B21" w:rsidRDefault="00EF5216" w:rsidP="00724AAC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належного регулювання діяльності у сфері торгівельної діяльності, ресторанного бізнесу та надання послуг;</w:t>
      </w:r>
    </w:p>
    <w:p w:rsidR="00724AAC" w:rsidRPr="00125B21" w:rsidRDefault="00724AAC" w:rsidP="00724AAC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:rsidR="00724AAC" w:rsidRPr="004A0F7F" w:rsidRDefault="00724AAC" w:rsidP="00724AAC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AA371A" w:rsidRPr="00AA371A" w:rsidRDefault="00AA371A" w:rsidP="00AA371A">
      <w:pPr>
        <w:spacing w:before="100" w:beforeAutospacing="1" w:after="100" w:afterAutospacing="1" w:line="240" w:lineRule="auto"/>
        <w:ind w:firstLine="426"/>
        <w:rPr>
          <w:rFonts w:ascii="Times New Roman" w:eastAsia="Calibri" w:hAnsi="Times New Roman"/>
          <w:b/>
          <w:bCs/>
          <w:i/>
          <w:iCs/>
          <w:sz w:val="24"/>
          <w:szCs w:val="24"/>
          <w:lang w:val="uk-UA" w:eastAsia="ru-RU"/>
        </w:rPr>
      </w:pPr>
      <w:r w:rsidRPr="00AA371A">
        <w:rPr>
          <w:rFonts w:ascii="Times New Roman" w:eastAsia="Calibri" w:hAnsi="Times New Roman"/>
          <w:sz w:val="24"/>
          <w:szCs w:val="24"/>
          <w:lang w:val="uk-UA" w:eastAsia="ru-RU"/>
        </w:rPr>
        <w:t>з  01.</w:t>
      </w:r>
      <w:r w:rsidRPr="00AA371A">
        <w:rPr>
          <w:rFonts w:ascii="Times New Roman" w:eastAsia="Calibri" w:hAnsi="Times New Roman"/>
          <w:sz w:val="24"/>
          <w:szCs w:val="24"/>
          <w:lang w:eastAsia="ru-RU"/>
        </w:rPr>
        <w:t>11</w:t>
      </w:r>
      <w:r w:rsidRPr="00AA371A">
        <w:rPr>
          <w:rFonts w:ascii="Times New Roman" w:eastAsia="Calibri" w:hAnsi="Times New Roman"/>
          <w:sz w:val="24"/>
          <w:szCs w:val="24"/>
          <w:lang w:val="uk-UA" w:eastAsia="ru-RU"/>
        </w:rPr>
        <w:t>.2022 по 02.12.2022</w:t>
      </w:r>
      <w:r w:rsidRPr="00AA371A">
        <w:rPr>
          <w:rFonts w:ascii="Times New Roman" w:eastAsia="Calibri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724AAC" w:rsidRPr="004A0F7F" w:rsidRDefault="00724AAC" w:rsidP="00724AAC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24AAC" w:rsidRPr="004A0F7F" w:rsidRDefault="00724AAC" w:rsidP="00724AAC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A46B55"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6152D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AA371A" w:rsidRPr="00AA371A">
        <w:rPr>
          <w:rFonts w:ascii="Times New Roman" w:hAnsi="Times New Roman"/>
          <w:sz w:val="24"/>
          <w:szCs w:val="24"/>
          <w:lang w:val="uk-UA" w:eastAsia="ru-RU"/>
        </w:rPr>
        <w:t>01.01.2022 по 01.11.2022</w:t>
      </w:r>
    </w:p>
    <w:p w:rsidR="00724AAC" w:rsidRPr="004A0F7F" w:rsidRDefault="00724AAC" w:rsidP="00724AAC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724AAC" w:rsidRPr="004A0F7F" w:rsidRDefault="00724AAC" w:rsidP="00023230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D05A78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724AAC" w:rsidRPr="004A0F7F" w:rsidRDefault="00724AAC" w:rsidP="00023230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724AAC" w:rsidRDefault="00724AAC" w:rsidP="00724AAC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D05A78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</w:t>
      </w:r>
      <w:r>
        <w:rPr>
          <w:rFonts w:ascii="Times New Roman" w:hAnsi="Times New Roman"/>
          <w:sz w:val="24"/>
          <w:szCs w:val="24"/>
          <w:lang w:val="uk-UA" w:eastAsia="ru-RU"/>
        </w:rPr>
        <w:t>егуляторного акту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:rsidR="00724AAC" w:rsidRPr="00677B4B" w:rsidRDefault="00724AAC" w:rsidP="00EF521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платників </w:t>
      </w:r>
      <w:r w:rsidR="00EF5216">
        <w:rPr>
          <w:rFonts w:ascii="Times New Roman" w:hAnsi="Times New Roman"/>
          <w:sz w:val="24"/>
          <w:szCs w:val="24"/>
          <w:lang w:val="uk-UA" w:eastAsia="ru-RU"/>
        </w:rPr>
        <w:t>єдиного податку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724AAC" w:rsidRPr="00677B4B" w:rsidRDefault="00724AAC" w:rsidP="00EF521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сплати </w:t>
      </w:r>
      <w:r w:rsidR="00EF5216">
        <w:rPr>
          <w:rFonts w:ascii="Times New Roman" w:hAnsi="Times New Roman"/>
          <w:sz w:val="24"/>
          <w:szCs w:val="24"/>
          <w:lang w:val="uk-UA" w:eastAsia="ru-RU"/>
        </w:rPr>
        <w:t>єдиного податку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24AAC" w:rsidRDefault="00724AAC" w:rsidP="00724AAC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  <w:bookmarkStart w:id="0" w:name="_GoBack"/>
      <w:bookmarkEnd w:id="0"/>
    </w:p>
    <w:p w:rsidR="00724AAC" w:rsidRPr="00BC28BC" w:rsidRDefault="00724AAC" w:rsidP="00724A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781" w:type="dxa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1559"/>
        <w:gridCol w:w="1559"/>
        <w:gridCol w:w="1418"/>
        <w:gridCol w:w="2126"/>
      </w:tblGrid>
      <w:tr w:rsidR="00724AAC" w:rsidRPr="00BF38DB" w:rsidTr="00693CB2">
        <w:trPr>
          <w:tblCellSpacing w:w="0" w:type="dxa"/>
        </w:trPr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724AAC" w:rsidRPr="00BF38DB" w:rsidRDefault="00724AAC" w:rsidP="00A93D8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724AAC" w:rsidRPr="00BF38DB" w:rsidRDefault="00724AAC" w:rsidP="00A93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AAC" w:rsidRPr="00BF38DB" w:rsidRDefault="00724AAC" w:rsidP="00A93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AAC" w:rsidRPr="00BF38DB" w:rsidRDefault="00724AAC" w:rsidP="00A93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724AAC" w:rsidRPr="00BF38DB" w:rsidRDefault="00724AAC" w:rsidP="00A93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724AAC" w:rsidRPr="00BF38DB" w:rsidRDefault="00724AAC" w:rsidP="00A93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 w:rsidRPr="00BF38D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 w:rsidRPr="00BF38DB"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9D336B" w:rsidRPr="00BF38DB" w:rsidTr="009D336B">
        <w:trPr>
          <w:tblCellSpacing w:w="0" w:type="dxa"/>
        </w:trPr>
        <w:tc>
          <w:tcPr>
            <w:tcW w:w="567" w:type="dxa"/>
            <w:vAlign w:val="bottom"/>
          </w:tcPr>
          <w:p w:rsidR="009D336B" w:rsidRPr="00BF38DB" w:rsidRDefault="009D336B" w:rsidP="009D33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9D336B" w:rsidRPr="00693CB2" w:rsidRDefault="009D336B" w:rsidP="009D336B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693CB2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єдиного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юридичні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18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110%</w:t>
            </w:r>
          </w:p>
        </w:tc>
      </w:tr>
      <w:tr w:rsidR="009D336B" w:rsidRPr="00BF38DB" w:rsidTr="009D336B">
        <w:trPr>
          <w:tblCellSpacing w:w="0" w:type="dxa"/>
        </w:trPr>
        <w:tc>
          <w:tcPr>
            <w:tcW w:w="567" w:type="dxa"/>
            <w:vAlign w:val="bottom"/>
          </w:tcPr>
          <w:p w:rsidR="009D336B" w:rsidRPr="00BF38DB" w:rsidRDefault="009D336B" w:rsidP="009D33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9D336B" w:rsidRPr="00991B40" w:rsidRDefault="009D336B" w:rsidP="009D336B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693CB2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єдиного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юридичними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тис. грн.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6672,57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12758,03</w:t>
            </w:r>
          </w:p>
        </w:tc>
        <w:tc>
          <w:tcPr>
            <w:tcW w:w="1418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6085,46</w:t>
            </w:r>
          </w:p>
        </w:tc>
        <w:tc>
          <w:tcPr>
            <w:tcW w:w="2126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191%</w:t>
            </w:r>
          </w:p>
        </w:tc>
      </w:tr>
      <w:tr w:rsidR="009D336B" w:rsidRPr="00BF38DB" w:rsidTr="009D336B">
        <w:trPr>
          <w:trHeight w:val="65"/>
          <w:tblCellSpacing w:w="0" w:type="dxa"/>
        </w:trPr>
        <w:tc>
          <w:tcPr>
            <w:tcW w:w="567" w:type="dxa"/>
            <w:vAlign w:val="bottom"/>
          </w:tcPr>
          <w:p w:rsidR="009D336B" w:rsidRPr="00BF38DB" w:rsidRDefault="009D336B" w:rsidP="009D33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9D336B" w:rsidRPr="00693CB2" w:rsidRDefault="009D336B" w:rsidP="009D33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93CB2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єдиного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фізичні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4041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4008</w:t>
            </w:r>
          </w:p>
        </w:tc>
        <w:tc>
          <w:tcPr>
            <w:tcW w:w="1418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-33</w:t>
            </w:r>
          </w:p>
        </w:tc>
        <w:tc>
          <w:tcPr>
            <w:tcW w:w="2126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9D336B" w:rsidRPr="00BF38DB" w:rsidTr="009D336B">
        <w:trPr>
          <w:tblCellSpacing w:w="0" w:type="dxa"/>
        </w:trPr>
        <w:tc>
          <w:tcPr>
            <w:tcW w:w="567" w:type="dxa"/>
            <w:vAlign w:val="bottom"/>
          </w:tcPr>
          <w:p w:rsidR="009D336B" w:rsidRPr="00BF38DB" w:rsidRDefault="009D336B" w:rsidP="009D33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9D336B" w:rsidRPr="00991B40" w:rsidRDefault="009D336B" w:rsidP="009D336B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693CB2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єдиного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фізичними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тис. грн.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85296,70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75545,61</w:t>
            </w:r>
          </w:p>
        </w:tc>
        <w:tc>
          <w:tcPr>
            <w:tcW w:w="1418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-9751,08</w:t>
            </w:r>
          </w:p>
        </w:tc>
        <w:tc>
          <w:tcPr>
            <w:tcW w:w="2126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  <w:tr w:rsidR="009D336B" w:rsidRPr="00BF38DB" w:rsidTr="009D336B">
        <w:trPr>
          <w:tblCellSpacing w:w="0" w:type="dxa"/>
        </w:trPr>
        <w:tc>
          <w:tcPr>
            <w:tcW w:w="567" w:type="dxa"/>
            <w:vAlign w:val="bottom"/>
          </w:tcPr>
          <w:p w:rsidR="009D336B" w:rsidRPr="00693CB2" w:rsidRDefault="009D336B" w:rsidP="009D336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9D336B" w:rsidRPr="00693CB2" w:rsidRDefault="009D336B" w:rsidP="009D33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93CB2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єдиного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сільскогосподарські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товаровиробники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138%</w:t>
            </w:r>
          </w:p>
        </w:tc>
      </w:tr>
      <w:tr w:rsidR="009D336B" w:rsidRPr="00BF38DB" w:rsidTr="009D336B">
        <w:trPr>
          <w:tblCellSpacing w:w="0" w:type="dxa"/>
        </w:trPr>
        <w:tc>
          <w:tcPr>
            <w:tcW w:w="567" w:type="dxa"/>
            <w:vAlign w:val="bottom"/>
          </w:tcPr>
          <w:p w:rsidR="009D336B" w:rsidRPr="00693CB2" w:rsidRDefault="009D336B" w:rsidP="009D336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9D336B" w:rsidRPr="00991B40" w:rsidRDefault="009D336B" w:rsidP="009D336B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693CB2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єдиного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сільскогосподарськими</w:t>
            </w:r>
            <w:proofErr w:type="spellEnd"/>
            <w:r w:rsidRPr="00693CB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93CB2">
              <w:rPr>
                <w:rFonts w:ascii="Times New Roman" w:hAnsi="Times New Roman"/>
                <w:sz w:val="24"/>
              </w:rPr>
              <w:t>товаровиробниками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>, тис. грн.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277,16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119,74</w:t>
            </w:r>
          </w:p>
        </w:tc>
        <w:tc>
          <w:tcPr>
            <w:tcW w:w="1418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-157,41</w:t>
            </w:r>
          </w:p>
        </w:tc>
        <w:tc>
          <w:tcPr>
            <w:tcW w:w="2126" w:type="dxa"/>
            <w:vAlign w:val="center"/>
          </w:tcPr>
          <w:p w:rsidR="009D336B" w:rsidRPr="009D336B" w:rsidRDefault="009D336B" w:rsidP="009D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B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</w:tbl>
    <w:p w:rsidR="00A76EEA" w:rsidRDefault="00724AAC" w:rsidP="00E37134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76EEA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Оцінка результатів реалізації регуляторного акту та ступеня досягнення визначених цілей:</w:t>
      </w:r>
      <w:r w:rsidRPr="00A76EEA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890D49" w:rsidRPr="00E37134" w:rsidRDefault="00890D49" w:rsidP="00890D49">
      <w:pPr>
        <w:pStyle w:val="a3"/>
        <w:spacing w:before="100" w:beforeAutospacing="1" w:after="0" w:line="240" w:lineRule="auto"/>
        <w:ind w:left="786"/>
        <w:rPr>
          <w:rFonts w:ascii="Times New Roman" w:hAnsi="Times New Roman"/>
          <w:sz w:val="24"/>
          <w:szCs w:val="24"/>
          <w:lang w:val="uk-UA" w:eastAsia="ru-RU"/>
        </w:rPr>
      </w:pPr>
    </w:p>
    <w:p w:rsidR="00A76EEA" w:rsidRPr="00A61D74" w:rsidRDefault="008C614A" w:rsidP="0007259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r w:rsidR="00693CB2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1307-13-</w:t>
      </w:r>
      <w:r w:rsidR="00693CB2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693CB2"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</w:t>
      </w:r>
      <w:r w:rsidR="00693CB2">
        <w:rPr>
          <w:rFonts w:ascii="Times New Roman" w:hAnsi="Times New Roman"/>
          <w:sz w:val="24"/>
          <w:szCs w:val="24"/>
          <w:lang w:val="uk-UA" w:eastAsia="ru-RU"/>
        </w:rPr>
        <w:t>єдиного податку</w:t>
      </w:r>
      <w:r w:rsidR="00693CB2" w:rsidRPr="00020F1F">
        <w:rPr>
          <w:rFonts w:ascii="Times New Roman" w:hAnsi="Times New Roman"/>
          <w:sz w:val="24"/>
          <w:szCs w:val="24"/>
          <w:lang w:val="uk-UA" w:eastAsia="ru-RU"/>
        </w:rPr>
        <w:t xml:space="preserve"> на території </w:t>
      </w:r>
      <w:proofErr w:type="spellStart"/>
      <w:r w:rsidR="00693CB2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693CB2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="00724AAC"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724AA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C08B3">
        <w:rPr>
          <w:rFonts w:ascii="Times New Roman" w:hAnsi="Times New Roman"/>
          <w:sz w:val="24"/>
          <w:szCs w:val="24"/>
          <w:lang w:val="uk-UA" w:eastAsia="ru-RU"/>
        </w:rPr>
        <w:t xml:space="preserve">регуляторний акт розроблений згідно з нормами чинного законодавства України. З ухваленням цього регуляторного акту створені умови для використання фінансового ресурсу в інтересах </w:t>
      </w:r>
      <w:proofErr w:type="spellStart"/>
      <w:r w:rsidR="00FC08B3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FC08B3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громади. Установлення розмірів ставок єдиного податку враховує вимоги чинного законодавства України. Таким чином, </w:t>
      </w:r>
      <w:proofErr w:type="spellStart"/>
      <w:r w:rsidR="00A76EEA">
        <w:rPr>
          <w:rFonts w:ascii="Times New Roman" w:hAnsi="Times New Roman"/>
          <w:sz w:val="24"/>
          <w:szCs w:val="24"/>
          <w:lang w:eastAsia="ru-RU"/>
        </w:rPr>
        <w:t>п</w:t>
      </w:r>
      <w:r w:rsidR="00A76EEA" w:rsidRPr="00A61D74">
        <w:rPr>
          <w:rFonts w:ascii="Times New Roman" w:hAnsi="Times New Roman"/>
          <w:sz w:val="24"/>
          <w:szCs w:val="24"/>
          <w:lang w:eastAsia="ru-RU"/>
        </w:rPr>
        <w:t>рийняття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даного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регуляторного акту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забезпечило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досягнення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цілей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визначених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його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затвердженні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підтверджується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позитивною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динамікою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у 2022 у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порівнянні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фактичних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показників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планових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 xml:space="preserve"> за 2021 </w:t>
      </w:r>
      <w:proofErr w:type="spellStart"/>
      <w:r w:rsidR="00A76EEA" w:rsidRPr="00A61D74">
        <w:rPr>
          <w:rFonts w:ascii="Times New Roman" w:hAnsi="Times New Roman"/>
          <w:sz w:val="24"/>
          <w:szCs w:val="24"/>
          <w:lang w:eastAsia="ru-RU"/>
        </w:rPr>
        <w:t>рік</w:t>
      </w:r>
      <w:proofErr w:type="spellEnd"/>
      <w:r w:rsidR="00A76EEA" w:rsidRPr="00A61D74">
        <w:rPr>
          <w:rFonts w:ascii="Times New Roman" w:hAnsi="Times New Roman"/>
          <w:sz w:val="24"/>
          <w:szCs w:val="24"/>
          <w:lang w:eastAsia="ru-RU"/>
        </w:rPr>
        <w:t>.</w:t>
      </w:r>
    </w:p>
    <w:p w:rsidR="00A76EEA" w:rsidRDefault="00A76EEA" w:rsidP="0007259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Низький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відсоток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надходжень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місцевого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бюджету 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порівнянні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аналогічним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періодом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2021 року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зумовлений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тимчасовим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звільненням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ФОП 1-2 </w:t>
      </w:r>
      <w:proofErr w:type="spellStart"/>
      <w:r>
        <w:rPr>
          <w:rFonts w:ascii="Times New Roman" w:hAnsi="Times New Roman"/>
          <w:sz w:val="24"/>
          <w:szCs w:val="24"/>
        </w:rPr>
        <w:t>груп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сплати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єдиного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податку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період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війни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З 1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квітня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2022 року до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припинення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або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скасування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воєнного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стану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території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України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згідно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абз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пп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9.1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підрозділу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розділу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ХХ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Перехідні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положення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 </w:t>
      </w:r>
      <w:r w:rsidRPr="002E13A7">
        <w:rPr>
          <w:rFonts w:ascii="Times New Roman" w:hAnsi="Times New Roman"/>
          <w:sz w:val="24"/>
          <w:szCs w:val="24"/>
          <w:shd w:val="clear" w:color="auto" w:fill="FFFFFF"/>
        </w:rPr>
        <w:t>ПКУ</w:t>
      </w:r>
      <w:r>
        <w:rPr>
          <w:rFonts w:ascii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ФОП -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платники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єдиного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податку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першої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другої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груп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мають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право не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сплачувати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єдиний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податок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76EEA" w:rsidRDefault="00A76EEA" w:rsidP="00A76EEA">
      <w:pPr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76EEA" w:rsidRDefault="00A76EEA" w:rsidP="00A76EEA">
      <w:pPr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76EEA" w:rsidRDefault="00A76EEA" w:rsidP="00A76EEA">
      <w:pPr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A371A" w:rsidRPr="00AA371A" w:rsidRDefault="00AA371A" w:rsidP="00AA37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71A"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</w:p>
    <w:p w:rsidR="00AA371A" w:rsidRPr="00AA371A" w:rsidRDefault="00AA371A" w:rsidP="00AA37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71A">
        <w:rPr>
          <w:rFonts w:ascii="Times New Roman" w:hAnsi="Times New Roman"/>
          <w:b/>
          <w:sz w:val="24"/>
          <w:szCs w:val="24"/>
          <w:lang w:val="uk-UA"/>
        </w:rPr>
        <w:t>відділу економічного розвитку, інвестицій</w:t>
      </w:r>
    </w:p>
    <w:p w:rsidR="00AA371A" w:rsidRPr="00AA371A" w:rsidRDefault="00AA371A" w:rsidP="00AA37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A371A">
        <w:rPr>
          <w:rFonts w:ascii="Times New Roman" w:hAnsi="Times New Roman"/>
          <w:b/>
          <w:sz w:val="24"/>
          <w:szCs w:val="24"/>
          <w:lang w:val="uk-UA"/>
        </w:rPr>
        <w:t xml:space="preserve">та цифрової трансформації                        </w:t>
      </w:r>
      <w:r w:rsidRPr="00AA371A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Тетяна ЛІПІНСЬКА</w:t>
      </w:r>
    </w:p>
    <w:p w:rsidR="00AA371A" w:rsidRPr="00AA371A" w:rsidRDefault="00AA371A" w:rsidP="00AA371A">
      <w:pPr>
        <w:rPr>
          <w:rFonts w:eastAsia="Calibri"/>
          <w:lang w:val="uk-UA"/>
        </w:rPr>
      </w:pPr>
    </w:p>
    <w:p w:rsidR="00AA371A" w:rsidRPr="00AA371A" w:rsidRDefault="00AA371A" w:rsidP="00AA371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AA371A">
        <w:rPr>
          <w:rFonts w:ascii="Times New Roman" w:hAnsi="Times New Roman"/>
          <w:bCs/>
          <w:sz w:val="20"/>
          <w:szCs w:val="20"/>
          <w:lang w:val="uk-UA" w:eastAsia="ru-RU"/>
        </w:rPr>
        <w:t xml:space="preserve">Виконавець </w:t>
      </w:r>
    </w:p>
    <w:p w:rsidR="00AA371A" w:rsidRPr="00AA371A" w:rsidRDefault="00AA371A" w:rsidP="00AA371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AA371A">
        <w:rPr>
          <w:rFonts w:ascii="Times New Roman" w:hAnsi="Times New Roman"/>
          <w:bCs/>
          <w:sz w:val="20"/>
          <w:szCs w:val="20"/>
          <w:lang w:val="uk-UA" w:eastAsia="ru-RU"/>
        </w:rPr>
        <w:t xml:space="preserve">Головний спеціаліст відділу економічного </w:t>
      </w:r>
    </w:p>
    <w:p w:rsidR="00AA371A" w:rsidRPr="00AA371A" w:rsidRDefault="00AA371A" w:rsidP="00AA371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AA371A">
        <w:rPr>
          <w:rFonts w:ascii="Times New Roman" w:hAnsi="Times New Roman"/>
          <w:bCs/>
          <w:sz w:val="20"/>
          <w:szCs w:val="20"/>
          <w:lang w:val="uk-UA" w:eastAsia="ru-RU"/>
        </w:rPr>
        <w:t>розвитку, інвестицій та цифрової трансформації</w:t>
      </w:r>
      <w:r w:rsidRPr="00AA371A">
        <w:rPr>
          <w:rFonts w:ascii="Times New Roman" w:hAnsi="Times New Roman"/>
          <w:bCs/>
          <w:sz w:val="20"/>
          <w:szCs w:val="20"/>
          <w:lang w:val="uk-UA" w:eastAsia="ru-RU"/>
        </w:rPr>
        <w:tab/>
      </w:r>
      <w:r w:rsidRPr="00AA371A">
        <w:rPr>
          <w:rFonts w:ascii="Times New Roman" w:hAnsi="Times New Roman"/>
          <w:bCs/>
          <w:sz w:val="20"/>
          <w:szCs w:val="20"/>
          <w:lang w:val="uk-UA" w:eastAsia="ru-RU"/>
        </w:rPr>
        <w:tab/>
      </w:r>
      <w:r w:rsidRPr="00AA371A">
        <w:rPr>
          <w:rFonts w:ascii="Times New Roman" w:hAnsi="Times New Roman"/>
          <w:bCs/>
          <w:sz w:val="20"/>
          <w:szCs w:val="20"/>
          <w:lang w:val="uk-UA" w:eastAsia="ru-RU"/>
        </w:rPr>
        <w:tab/>
      </w:r>
      <w:r w:rsidRPr="00AA371A">
        <w:rPr>
          <w:rFonts w:ascii="Times New Roman" w:hAnsi="Times New Roman"/>
          <w:bCs/>
          <w:sz w:val="20"/>
          <w:szCs w:val="20"/>
          <w:lang w:val="uk-UA" w:eastAsia="ru-RU"/>
        </w:rPr>
        <w:tab/>
        <w:t xml:space="preserve">                        Олександр СТАСЮК</w:t>
      </w:r>
    </w:p>
    <w:p w:rsidR="00637E57" w:rsidRPr="004F6CC7" w:rsidRDefault="00637E57" w:rsidP="0025700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637E57" w:rsidRPr="004F6CC7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CB"/>
    <w:rsid w:val="00023230"/>
    <w:rsid w:val="000366A0"/>
    <w:rsid w:val="00072591"/>
    <w:rsid w:val="00257004"/>
    <w:rsid w:val="002E3204"/>
    <w:rsid w:val="003555C3"/>
    <w:rsid w:val="00390E54"/>
    <w:rsid w:val="00412B12"/>
    <w:rsid w:val="00466064"/>
    <w:rsid w:val="004F6CC7"/>
    <w:rsid w:val="00582052"/>
    <w:rsid w:val="00637E57"/>
    <w:rsid w:val="00693CB2"/>
    <w:rsid w:val="00724AAC"/>
    <w:rsid w:val="00890D49"/>
    <w:rsid w:val="008C614A"/>
    <w:rsid w:val="00991B40"/>
    <w:rsid w:val="009D336B"/>
    <w:rsid w:val="00A46B55"/>
    <w:rsid w:val="00A76EEA"/>
    <w:rsid w:val="00AA371A"/>
    <w:rsid w:val="00AA7C64"/>
    <w:rsid w:val="00AC349B"/>
    <w:rsid w:val="00B92DCB"/>
    <w:rsid w:val="00C81F7A"/>
    <w:rsid w:val="00CC16BD"/>
    <w:rsid w:val="00D05A78"/>
    <w:rsid w:val="00E37134"/>
    <w:rsid w:val="00E57323"/>
    <w:rsid w:val="00EF5216"/>
    <w:rsid w:val="00F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B19A"/>
  <w15:chartTrackingRefBased/>
  <w15:docId w15:val="{15B154E6-427F-452F-AA5F-21FAB58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A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5732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4AA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73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732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25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0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2023-11-16T15:21:00Z</cp:lastPrinted>
  <dcterms:created xsi:type="dcterms:W3CDTF">2022-11-30T13:35:00Z</dcterms:created>
  <dcterms:modified xsi:type="dcterms:W3CDTF">2023-11-20T10:53:00Z</dcterms:modified>
</cp:coreProperties>
</file>