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11" w:rsidRPr="004A0F7F" w:rsidRDefault="00067911" w:rsidP="000263BB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A175E0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</w:t>
      </w:r>
      <w:bookmarkStart w:id="0" w:name="_GoBack"/>
      <w:bookmarkEnd w:id="0"/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ості </w:t>
      </w:r>
    </w:p>
    <w:p w:rsidR="00067911" w:rsidRPr="00522FF3" w:rsidRDefault="00A175E0" w:rsidP="000263B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</w:t>
      </w:r>
      <w:r w:rsidR="00067911"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ішення </w:t>
      </w:r>
      <w:proofErr w:type="spellStart"/>
      <w:r w:rsidR="00067911"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="00067911"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="00067911"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067911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067911"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067911">
        <w:rPr>
          <w:rFonts w:ascii="Times New Roman" w:hAnsi="Times New Roman"/>
          <w:b/>
          <w:bCs/>
          <w:sz w:val="24"/>
          <w:szCs w:val="24"/>
          <w:lang w:val="uk-UA"/>
        </w:rPr>
        <w:t xml:space="preserve">встановлення ставок та пільг із сплати земельного податку на території </w:t>
      </w:r>
      <w:proofErr w:type="spellStart"/>
      <w:r w:rsidR="00067911"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 w:rsidR="00067911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територіальної громади»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(зі змінами від 26.08.2021 №</w:t>
      </w:r>
      <w:r w:rsidR="00FC553D">
        <w:rPr>
          <w:rFonts w:ascii="Times New Roman" w:hAnsi="Times New Roman"/>
          <w:b/>
          <w:bCs/>
          <w:sz w:val="24"/>
          <w:szCs w:val="24"/>
          <w:lang w:val="uk-UA"/>
        </w:rPr>
        <w:t>718-16-</w:t>
      </w:r>
      <w:r w:rsidR="00FC553D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) </w:t>
      </w:r>
    </w:p>
    <w:p w:rsidR="00067911" w:rsidRPr="00B4171C" w:rsidRDefault="00067911" w:rsidP="000263BB">
      <w:pPr>
        <w:spacing w:before="100" w:beforeAutospacing="1" w:after="100" w:afterAutospacing="1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067911" w:rsidRPr="00020F1F" w:rsidRDefault="00067911" w:rsidP="000263BB">
      <w:pPr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1308-13-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</w:t>
      </w:r>
      <w:r w:rsidR="004653A2">
        <w:rPr>
          <w:rFonts w:ascii="Times New Roman" w:hAnsi="Times New Roman"/>
          <w:sz w:val="24"/>
          <w:szCs w:val="24"/>
          <w:lang w:val="uk-UA" w:eastAsia="ru-RU"/>
        </w:rPr>
        <w:t>та пільг із сплати зе</w:t>
      </w:r>
      <w:r>
        <w:rPr>
          <w:rFonts w:ascii="Times New Roman" w:hAnsi="Times New Roman"/>
          <w:sz w:val="24"/>
          <w:szCs w:val="24"/>
          <w:lang w:val="uk-UA" w:eastAsia="ru-RU"/>
        </w:rPr>
        <w:t>мельного податку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F03AA1" w:rsidRPr="00E25C4E">
        <w:rPr>
          <w:rFonts w:ascii="Times New Roman" w:hAnsi="Times New Roman"/>
          <w:sz w:val="24"/>
          <w:szCs w:val="24"/>
          <w:lang w:val="uk-UA" w:eastAsia="ru-RU"/>
        </w:rPr>
        <w:t xml:space="preserve"> (зі змінами від 26.08.2021 №718-16-</w:t>
      </w:r>
      <w:r w:rsidR="00F03AA1" w:rsidRPr="00F03AA1">
        <w:rPr>
          <w:rFonts w:ascii="Times New Roman" w:hAnsi="Times New Roman"/>
          <w:sz w:val="24"/>
          <w:szCs w:val="24"/>
          <w:lang w:eastAsia="ru-RU"/>
        </w:rPr>
        <w:t>VIII</w:t>
      </w:r>
      <w:r w:rsidR="00F03AA1" w:rsidRPr="00E25C4E">
        <w:rPr>
          <w:rFonts w:ascii="Times New Roman" w:hAnsi="Times New Roman"/>
          <w:sz w:val="24"/>
          <w:szCs w:val="24"/>
          <w:lang w:val="uk-UA" w:eastAsia="ru-RU"/>
        </w:rPr>
        <w:t>)</w:t>
      </w:r>
      <w:r w:rsidRPr="00E25C4E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067911" w:rsidRPr="00F13824" w:rsidRDefault="00067911" w:rsidP="000263BB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067911" w:rsidRPr="004A0F7F" w:rsidRDefault="00067911" w:rsidP="000263B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 w:rsidR="00B70EA9"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розвитку, </w:t>
      </w:r>
      <w:r>
        <w:rPr>
          <w:rFonts w:ascii="Times New Roman" w:hAnsi="Times New Roman"/>
          <w:sz w:val="24"/>
          <w:szCs w:val="24"/>
          <w:lang w:val="uk-UA" w:eastAsia="ru-RU"/>
        </w:rPr>
        <w:t>інвестицій</w:t>
      </w:r>
      <w:r w:rsidR="00B70EA9">
        <w:rPr>
          <w:rFonts w:ascii="Times New Roman" w:hAnsi="Times New Roman"/>
          <w:sz w:val="24"/>
          <w:szCs w:val="24"/>
          <w:lang w:val="uk-UA" w:eastAsia="ru-RU"/>
        </w:rPr>
        <w:t xml:space="preserve"> та цифрової трансформації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067911" w:rsidRDefault="00067911" w:rsidP="000263BB">
      <w:pPr>
        <w:spacing w:before="100" w:beforeAutospacing="1" w:after="100" w:afterAutospacing="1"/>
        <w:ind w:firstLine="426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F03AA1" w:rsidRPr="00F03AA1" w:rsidRDefault="00F03AA1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val="uk-UA" w:eastAsia="ru-RU"/>
        </w:rPr>
        <w:t>Даний регуляторний акт спрямований на:</w:t>
      </w:r>
    </w:p>
    <w:p w:rsidR="00F03AA1" w:rsidRPr="00F03AA1" w:rsidRDefault="00F03AA1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- забезпечення дотримання вимог Податкового кодексу України;  </w:t>
      </w:r>
    </w:p>
    <w:p w:rsidR="00F03AA1" w:rsidRDefault="00F03AA1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val="uk-UA" w:eastAsia="ru-RU"/>
        </w:rPr>
        <w:t>-  встановл</w:t>
      </w:r>
      <w:r w:rsidR="00991183">
        <w:rPr>
          <w:rFonts w:ascii="Times New Roman" w:hAnsi="Times New Roman"/>
          <w:sz w:val="24"/>
          <w:szCs w:val="24"/>
          <w:lang w:val="uk-UA" w:eastAsia="ru-RU"/>
        </w:rPr>
        <w:t xml:space="preserve">ення ставок земельного податку 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9911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 відповідно до Класифікації виді</w:t>
      </w:r>
      <w:r>
        <w:rPr>
          <w:rFonts w:ascii="Times New Roman" w:hAnsi="Times New Roman"/>
          <w:sz w:val="24"/>
          <w:szCs w:val="24"/>
          <w:lang w:val="uk-UA" w:eastAsia="ru-RU"/>
        </w:rPr>
        <w:t>в цільового призначення земель;</w:t>
      </w:r>
    </w:p>
    <w:p w:rsidR="00F03AA1" w:rsidRDefault="00F03AA1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встановлення пільг зі сплати земельного податку для певних груп платників податків за видами їх діяльності та суспільного значення здійснюваних ними витрат у відповідності </w:t>
      </w:r>
      <w:proofErr w:type="gramStart"/>
      <w:r w:rsidRPr="00F03AA1">
        <w:rPr>
          <w:rFonts w:ascii="Times New Roman" w:hAnsi="Times New Roman"/>
          <w:sz w:val="24"/>
          <w:szCs w:val="24"/>
          <w:lang w:val="uk-UA" w:eastAsia="ru-RU"/>
        </w:rPr>
        <w:t>до пункту</w:t>
      </w:r>
      <w:proofErr w:type="gramEnd"/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 30.2 статті 30 Податкового кодексу України; </w:t>
      </w:r>
    </w:p>
    <w:p w:rsidR="00F03AA1" w:rsidRDefault="00F03AA1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соціально-економічного розвитку </w:t>
      </w:r>
      <w:r w:rsidR="00991183">
        <w:rPr>
          <w:rFonts w:ascii="Times New Roman" w:hAnsi="Times New Roman"/>
          <w:sz w:val="24"/>
          <w:szCs w:val="24"/>
          <w:lang w:val="uk-UA" w:eastAsia="ru-RU"/>
        </w:rPr>
        <w:t>громади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>, подальшого регулювання земельних відносин, використання земельного ресурсу в інтересах територіальної громади міста;</w:t>
      </w:r>
    </w:p>
    <w:p w:rsidR="00F03AA1" w:rsidRPr="004A0F7F" w:rsidRDefault="00F03AA1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03A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отримання додаткового фінансового ресурсу для вирішення соціально-економічних питань розвитку </w:t>
      </w:r>
      <w:r w:rsidR="00991183">
        <w:rPr>
          <w:rFonts w:ascii="Times New Roman" w:hAnsi="Times New Roman"/>
          <w:sz w:val="24"/>
          <w:szCs w:val="24"/>
          <w:lang w:val="uk-UA" w:eastAsia="ru-RU"/>
        </w:rPr>
        <w:t>громади</w:t>
      </w:r>
      <w:r w:rsidRPr="00F03AA1">
        <w:rPr>
          <w:rFonts w:ascii="Times New Roman" w:hAnsi="Times New Roman"/>
          <w:sz w:val="24"/>
          <w:szCs w:val="24"/>
          <w:lang w:val="uk-UA" w:eastAsia="ru-RU"/>
        </w:rPr>
        <w:t xml:space="preserve"> - фінансування бюджетної сфери в галузях освіти, охорони здоров’я, соціального захисту, житлово-комунального та дорожнього господарства, транспорту тощо.</w:t>
      </w:r>
    </w:p>
    <w:p w:rsidR="00067911" w:rsidRPr="004A0F7F" w:rsidRDefault="00067911" w:rsidP="000263BB">
      <w:pPr>
        <w:spacing w:before="100" w:beforeAutospacing="1" w:after="100" w:afterAutospacing="1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B70EA9" w:rsidRDefault="00B70EA9" w:rsidP="000263BB">
      <w:pPr>
        <w:spacing w:before="100" w:beforeAutospacing="1" w:after="100" w:afterAutospacing="1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val="uk-UA" w:eastAsia="ru-RU"/>
        </w:rPr>
        <w:t>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067911" w:rsidRPr="004A0F7F" w:rsidRDefault="00067911" w:rsidP="000263BB">
      <w:pPr>
        <w:spacing w:before="100" w:beforeAutospacing="1" w:after="100" w:afterAutospacing="1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067911" w:rsidRPr="004A0F7F" w:rsidRDefault="00B70EA9" w:rsidP="000263BB">
      <w:pPr>
        <w:spacing w:before="100" w:beforeAutospacing="1" w:after="100" w:afterAutospacing="1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CD4483">
        <w:rPr>
          <w:rFonts w:ascii="Times New Roman" w:hAnsi="Times New Roman"/>
          <w:sz w:val="24"/>
          <w:szCs w:val="24"/>
          <w:lang w:val="uk-UA" w:eastAsia="ru-RU"/>
        </w:rPr>
        <w:t>овторне відстеження.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B70EA9">
        <w:rPr>
          <w:rFonts w:ascii="Times New Roman" w:hAnsi="Times New Roman"/>
          <w:sz w:val="24"/>
          <w:szCs w:val="24"/>
          <w:lang w:val="uk-UA" w:eastAsia="ru-RU"/>
        </w:rPr>
        <w:t>01.01.2022 по 01.11.2022</w:t>
      </w:r>
    </w:p>
    <w:p w:rsidR="00067911" w:rsidRPr="004A0F7F" w:rsidRDefault="00067911" w:rsidP="000263BB">
      <w:pPr>
        <w:spacing w:before="100" w:beforeAutospacing="1" w:after="100" w:afterAutospacing="1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067911" w:rsidRPr="004A0F7F" w:rsidRDefault="00067911" w:rsidP="000263BB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CD4483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067911" w:rsidRPr="004A0F7F" w:rsidRDefault="00067911" w:rsidP="000263BB">
      <w:pPr>
        <w:spacing w:before="100" w:beforeAutospacing="1" w:after="100" w:afterAutospacing="1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067911" w:rsidRDefault="00CD4483" w:rsidP="000263BB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D4483">
        <w:rPr>
          <w:rFonts w:ascii="Times New Roman" w:hAnsi="Times New Roman"/>
          <w:sz w:val="24"/>
          <w:szCs w:val="24"/>
          <w:lang w:val="uk-UA" w:eastAsia="ru-RU"/>
        </w:rPr>
        <w:t xml:space="preserve">Повторне відстеження результативності рішення </w:t>
      </w:r>
      <w:proofErr w:type="spellStart"/>
      <w:r w:rsidRPr="00CD44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CD4483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«Про встановлення ставок та пільг із сплати земельного податку на території </w:t>
      </w:r>
      <w:proofErr w:type="spellStart"/>
      <w:r w:rsidRPr="00CD44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CD4483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</w:t>
      </w:r>
      <w:r w:rsidRPr="00CD4483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громади» (зі змінами від 26.08.2021 №718-16-VIII) здійснювалося шляхом аналізу даних </w:t>
      </w:r>
      <w:r w:rsidR="00067911" w:rsidRPr="004A0F7F">
        <w:rPr>
          <w:rFonts w:ascii="Times New Roman" w:hAnsi="Times New Roman"/>
          <w:sz w:val="24"/>
          <w:szCs w:val="24"/>
          <w:lang w:val="uk-UA" w:eastAsia="ru-RU"/>
        </w:rPr>
        <w:t>статистичн</w:t>
      </w:r>
      <w:r>
        <w:rPr>
          <w:rFonts w:ascii="Times New Roman" w:hAnsi="Times New Roman"/>
          <w:sz w:val="24"/>
          <w:szCs w:val="24"/>
          <w:lang w:val="uk-UA" w:eastAsia="ru-RU"/>
        </w:rPr>
        <w:t>их</w:t>
      </w:r>
      <w:r w:rsidR="00067911"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показник</w:t>
      </w:r>
      <w:r>
        <w:rPr>
          <w:rFonts w:ascii="Times New Roman" w:hAnsi="Times New Roman"/>
          <w:sz w:val="24"/>
          <w:szCs w:val="24"/>
          <w:lang w:val="uk-UA" w:eastAsia="ru-RU"/>
        </w:rPr>
        <w:t>ів</w:t>
      </w:r>
      <w:r w:rsidR="00067911" w:rsidRPr="004A0F7F">
        <w:rPr>
          <w:rFonts w:ascii="Times New Roman" w:hAnsi="Times New Roman"/>
          <w:sz w:val="24"/>
          <w:szCs w:val="24"/>
          <w:lang w:val="uk-UA" w:eastAsia="ru-RU"/>
        </w:rPr>
        <w:t xml:space="preserve"> результативності:</w:t>
      </w:r>
    </w:p>
    <w:p w:rsidR="00067911" w:rsidRPr="00677B4B" w:rsidRDefault="00067911" w:rsidP="000263BB">
      <w:pPr>
        <w:pStyle w:val="a3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</w:t>
      </w:r>
      <w:r w:rsidR="00A7171F">
        <w:rPr>
          <w:rFonts w:ascii="Times New Roman" w:hAnsi="Times New Roman"/>
          <w:sz w:val="24"/>
          <w:szCs w:val="24"/>
          <w:lang w:val="uk-UA" w:eastAsia="ru-RU"/>
        </w:rPr>
        <w:t>земельного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збору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067911" w:rsidRPr="00677B4B" w:rsidRDefault="00067911" w:rsidP="000263BB">
      <w:pPr>
        <w:pStyle w:val="a3"/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сплати </w:t>
      </w:r>
      <w:r w:rsidR="00A7171F">
        <w:rPr>
          <w:rFonts w:ascii="Times New Roman" w:hAnsi="Times New Roman"/>
          <w:sz w:val="24"/>
          <w:szCs w:val="24"/>
          <w:lang w:val="uk-UA" w:eastAsia="ru-RU"/>
        </w:rPr>
        <w:t>земельного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збору.</w:t>
      </w:r>
    </w:p>
    <w:p w:rsidR="00067911" w:rsidRDefault="00CD4483" w:rsidP="000263BB">
      <w:pPr>
        <w:spacing w:after="160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8. </w:t>
      </w:r>
      <w:r w:rsidR="00067911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Кількісні та якісні значення показників результативност</w:t>
      </w:r>
      <w:r w:rsidR="00067911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акта</w:t>
      </w:r>
      <w:proofErr w:type="spellEnd"/>
      <w:r w:rsidR="00067911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</w:p>
    <w:p w:rsidR="00CD4483" w:rsidRDefault="00CD4483" w:rsidP="000263BB">
      <w:pPr>
        <w:spacing w:after="160"/>
        <w:ind w:firstLine="708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Відстеження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результативності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регуляторного акта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здійснюється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встановленому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законодавством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порядку </w:t>
      </w:r>
      <w:proofErr w:type="gram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за 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кількісними</w:t>
      </w:r>
      <w:proofErr w:type="spellEnd"/>
      <w:proofErr w:type="gram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і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якісними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показниками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з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використанням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статистичного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метода 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одержання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результатів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відстеження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tbl>
      <w:tblPr>
        <w:tblW w:w="9781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1417"/>
        <w:gridCol w:w="1418"/>
        <w:gridCol w:w="1417"/>
        <w:gridCol w:w="2410"/>
      </w:tblGrid>
      <w:tr w:rsidR="00867C75" w:rsidRPr="00BF38DB" w:rsidTr="00C54EEE">
        <w:trPr>
          <w:tblCellSpacing w:w="0" w:type="dxa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867C75" w:rsidRPr="00BF38DB" w:rsidRDefault="00867C75" w:rsidP="000263BB">
            <w:pPr>
              <w:spacing w:after="0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867C75" w:rsidRPr="00BF38DB" w:rsidRDefault="00867C75" w:rsidP="000263B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7C75" w:rsidRPr="00BF38DB" w:rsidRDefault="00867C75" w:rsidP="000263B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7C75" w:rsidRPr="00BF38DB" w:rsidRDefault="00867C75" w:rsidP="000263B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867C75" w:rsidRPr="00BF38DB" w:rsidRDefault="00867C75" w:rsidP="000263B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867C75" w:rsidRPr="00BF38DB" w:rsidRDefault="00867C75" w:rsidP="000263B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867C75" w:rsidRPr="00BF38DB" w:rsidTr="00C54EEE">
        <w:trPr>
          <w:trHeight w:val="862"/>
          <w:tblCellSpacing w:w="0" w:type="dxa"/>
        </w:trPr>
        <w:tc>
          <w:tcPr>
            <w:tcW w:w="567" w:type="dxa"/>
            <w:vAlign w:val="bottom"/>
          </w:tcPr>
          <w:p w:rsidR="00867C75" w:rsidRPr="00BF38DB" w:rsidRDefault="00867C75" w:rsidP="000263B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867C75" w:rsidRPr="00DE7F20" w:rsidRDefault="00867C75" w:rsidP="000263BB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DE7F20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4653A2"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1417" w:type="dxa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-16</w:t>
            </w:r>
          </w:p>
        </w:tc>
        <w:tc>
          <w:tcPr>
            <w:tcW w:w="2410" w:type="dxa"/>
            <w:vAlign w:val="center"/>
          </w:tcPr>
          <w:p w:rsidR="00867C75" w:rsidRPr="00903727" w:rsidRDefault="00867C75" w:rsidP="00026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7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867C75" w:rsidRPr="00BF38DB" w:rsidTr="00C54EEE">
        <w:trPr>
          <w:trHeight w:val="1373"/>
          <w:tblCellSpacing w:w="0" w:type="dxa"/>
        </w:trPr>
        <w:tc>
          <w:tcPr>
            <w:tcW w:w="567" w:type="dxa"/>
            <w:vAlign w:val="bottom"/>
          </w:tcPr>
          <w:p w:rsidR="00867C75" w:rsidRPr="00BF38DB" w:rsidRDefault="00867C75" w:rsidP="000263B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867C75" w:rsidRPr="001A4A16" w:rsidRDefault="00867C75" w:rsidP="000263BB">
            <w:pPr>
              <w:rPr>
                <w:rFonts w:ascii="Times New Roman" w:hAnsi="Times New Roman"/>
                <w:sz w:val="24"/>
                <w:lang w:val="uk-UA"/>
              </w:rPr>
            </w:pPr>
            <w:r w:rsidRPr="00DE7F20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юридичними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грн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33330612,95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26883605,31</w:t>
            </w:r>
          </w:p>
        </w:tc>
        <w:tc>
          <w:tcPr>
            <w:tcW w:w="1417" w:type="dxa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-6447007,64</w:t>
            </w:r>
          </w:p>
        </w:tc>
        <w:tc>
          <w:tcPr>
            <w:tcW w:w="2410" w:type="dxa"/>
            <w:vAlign w:val="center"/>
          </w:tcPr>
          <w:p w:rsidR="00867C75" w:rsidRPr="00903727" w:rsidRDefault="00867C75" w:rsidP="00026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7">
              <w:rPr>
                <w:rFonts w:ascii="Times New Roman" w:hAnsi="Times New Roman"/>
                <w:sz w:val="24"/>
                <w:szCs w:val="24"/>
              </w:rPr>
              <w:t>81%</w:t>
            </w:r>
          </w:p>
        </w:tc>
      </w:tr>
      <w:tr w:rsidR="00867C75" w:rsidRPr="00BF38DB" w:rsidTr="00C54EEE">
        <w:trPr>
          <w:trHeight w:val="65"/>
          <w:tblCellSpacing w:w="0" w:type="dxa"/>
        </w:trPr>
        <w:tc>
          <w:tcPr>
            <w:tcW w:w="567" w:type="dxa"/>
            <w:vAlign w:val="bottom"/>
          </w:tcPr>
          <w:p w:rsidR="00867C75" w:rsidRPr="00BF38DB" w:rsidRDefault="00867C75" w:rsidP="000263B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867C75" w:rsidRPr="00DE7F20" w:rsidRDefault="00867C75" w:rsidP="000263B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E7F20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3474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492</w:t>
            </w:r>
          </w:p>
        </w:tc>
        <w:tc>
          <w:tcPr>
            <w:tcW w:w="1417" w:type="dxa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-2982</w:t>
            </w:r>
          </w:p>
        </w:tc>
        <w:tc>
          <w:tcPr>
            <w:tcW w:w="2410" w:type="dxa"/>
            <w:vAlign w:val="center"/>
          </w:tcPr>
          <w:p w:rsidR="00867C75" w:rsidRPr="00903727" w:rsidRDefault="00867C75" w:rsidP="00026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7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</w:tr>
      <w:tr w:rsidR="00867C75" w:rsidRPr="00BF38DB" w:rsidTr="00C54EEE">
        <w:trPr>
          <w:trHeight w:val="971"/>
          <w:tblCellSpacing w:w="0" w:type="dxa"/>
        </w:trPr>
        <w:tc>
          <w:tcPr>
            <w:tcW w:w="567" w:type="dxa"/>
            <w:vAlign w:val="bottom"/>
          </w:tcPr>
          <w:p w:rsidR="00867C75" w:rsidRPr="00BF38DB" w:rsidRDefault="00867C75" w:rsidP="000263B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867C75" w:rsidRPr="001A4A16" w:rsidRDefault="00867C75" w:rsidP="000263BB">
            <w:pPr>
              <w:rPr>
                <w:rFonts w:ascii="Times New Roman" w:hAnsi="Times New Roman"/>
                <w:sz w:val="24"/>
                <w:lang w:val="uk-UA"/>
              </w:rPr>
            </w:pPr>
            <w:r w:rsidRPr="00DE7F20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земельного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E7F20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DE7F20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грн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7927674,68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360555,57</w:t>
            </w:r>
          </w:p>
        </w:tc>
        <w:tc>
          <w:tcPr>
            <w:tcW w:w="1417" w:type="dxa"/>
            <w:vAlign w:val="center"/>
          </w:tcPr>
          <w:p w:rsidR="00867C75" w:rsidRPr="004653A2" w:rsidRDefault="00867C75" w:rsidP="000263BB">
            <w:pPr>
              <w:jc w:val="center"/>
              <w:rPr>
                <w:rFonts w:ascii="Times New Roman" w:hAnsi="Times New Roman"/>
                <w:sz w:val="24"/>
              </w:rPr>
            </w:pPr>
            <w:r w:rsidRPr="004653A2">
              <w:rPr>
                <w:rFonts w:ascii="Times New Roman" w:hAnsi="Times New Roman"/>
                <w:sz w:val="24"/>
              </w:rPr>
              <w:t>-7567119,11</w:t>
            </w:r>
          </w:p>
        </w:tc>
        <w:tc>
          <w:tcPr>
            <w:tcW w:w="2410" w:type="dxa"/>
            <w:vAlign w:val="center"/>
          </w:tcPr>
          <w:p w:rsidR="00867C75" w:rsidRPr="00903727" w:rsidRDefault="00867C75" w:rsidP="000263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867C75" w:rsidRPr="00CD4483" w:rsidRDefault="00867C75" w:rsidP="000263BB">
      <w:pPr>
        <w:spacing w:after="160"/>
        <w:ind w:firstLine="708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067911" w:rsidRPr="004A0F7F" w:rsidRDefault="00067911" w:rsidP="000263BB">
      <w:pPr>
        <w:spacing w:before="100" w:beforeAutospacing="1" w:after="100" w:afterAutospacing="1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216131" w:rsidRDefault="001A1A2B" w:rsidP="000263B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r w:rsidR="00CD3DE9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1308-13-</w:t>
      </w:r>
      <w:r w:rsidR="00CD3DE9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CD3DE9"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</w:t>
      </w:r>
      <w:r w:rsidR="004653A2">
        <w:rPr>
          <w:rFonts w:ascii="Times New Roman" w:hAnsi="Times New Roman"/>
          <w:sz w:val="24"/>
          <w:szCs w:val="24"/>
          <w:lang w:val="uk-UA" w:eastAsia="ru-RU"/>
        </w:rPr>
        <w:t>та пільг із сплати зе</w:t>
      </w:r>
      <w:r w:rsidR="00CD3DE9">
        <w:rPr>
          <w:rFonts w:ascii="Times New Roman" w:hAnsi="Times New Roman"/>
          <w:sz w:val="24"/>
          <w:szCs w:val="24"/>
          <w:lang w:val="uk-UA" w:eastAsia="ru-RU"/>
        </w:rPr>
        <w:t>мельного податку</w:t>
      </w:r>
      <w:r w:rsidR="00CD3DE9" w:rsidRPr="00020F1F">
        <w:rPr>
          <w:rFonts w:ascii="Times New Roman" w:hAnsi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 w:rsidR="00CD3DE9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CD3DE9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="00CD3DE9"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CD3DE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A7522" w:rsidRPr="00FA7522">
        <w:rPr>
          <w:rFonts w:ascii="Times New Roman" w:hAnsi="Times New Roman"/>
          <w:bCs/>
          <w:sz w:val="24"/>
          <w:szCs w:val="24"/>
          <w:lang w:val="uk-UA"/>
        </w:rPr>
        <w:t>(зі змінами від 26.08.2021 №718-16-</w:t>
      </w:r>
      <w:r w:rsidR="00FA7522" w:rsidRPr="00FA7522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FA7522" w:rsidRPr="00FA7522">
        <w:rPr>
          <w:rFonts w:ascii="Times New Roman" w:hAnsi="Times New Roman"/>
          <w:bCs/>
          <w:sz w:val="24"/>
          <w:szCs w:val="24"/>
          <w:lang w:val="uk-UA"/>
        </w:rPr>
        <w:t>)</w:t>
      </w:r>
      <w:r w:rsidR="00FA752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FA7522" w:rsidRPr="00FA7522">
        <w:rPr>
          <w:rFonts w:ascii="Times New Roman" w:hAnsi="Times New Roman"/>
          <w:sz w:val="24"/>
          <w:szCs w:val="24"/>
          <w:lang w:val="uk-UA" w:eastAsia="ru-RU"/>
        </w:rPr>
        <w:t xml:space="preserve">регуляторний акт, розроблений згідно з нормами чинного законодавства України. З ухваленням цього регуляторного </w:t>
      </w:r>
      <w:proofErr w:type="spellStart"/>
      <w:r w:rsidR="00FA7522" w:rsidRPr="00FA7522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="00FA7522" w:rsidRPr="00FA7522">
        <w:rPr>
          <w:rFonts w:ascii="Times New Roman" w:hAnsi="Times New Roman"/>
          <w:sz w:val="24"/>
          <w:szCs w:val="24"/>
          <w:lang w:val="uk-UA" w:eastAsia="ru-RU"/>
        </w:rPr>
        <w:t xml:space="preserve"> створені умови для використання земельного ресурсу в інтересах </w:t>
      </w:r>
      <w:proofErr w:type="spellStart"/>
      <w:r w:rsidR="00FA7522" w:rsidRPr="00FA7522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FA7522" w:rsidRPr="00FA7522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громади, раціонального ефективного використання земельних ділянок, забезпечення правового врегулювання майнових відносин членів територіальної громади. Установлення розмірів ставок плати за користування земельними ділянками у відсотках від нормативної грошової оцінки земель </w:t>
      </w:r>
      <w:r w:rsidR="008D17AB">
        <w:rPr>
          <w:rFonts w:ascii="Times New Roman" w:hAnsi="Times New Roman"/>
          <w:sz w:val="24"/>
          <w:szCs w:val="24"/>
          <w:lang w:val="uk-UA" w:eastAsia="ru-RU"/>
        </w:rPr>
        <w:t>населених пунктів громади</w:t>
      </w:r>
      <w:r w:rsidR="00FA7522" w:rsidRPr="00FA7522">
        <w:rPr>
          <w:rFonts w:ascii="Times New Roman" w:hAnsi="Times New Roman"/>
          <w:sz w:val="24"/>
          <w:szCs w:val="24"/>
          <w:lang w:val="uk-UA" w:eastAsia="ru-RU"/>
        </w:rPr>
        <w:t xml:space="preserve"> враховує вимоги чинного законодавства України щодо залежності розміру обов’язкових податкових платежів від містобудівної цінності й цільового призначення земель.</w:t>
      </w:r>
      <w:r w:rsidR="008D17A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015673" w:rsidRPr="00FA7522">
        <w:rPr>
          <w:rFonts w:ascii="Times New Roman" w:hAnsi="Times New Roman"/>
          <w:sz w:val="24"/>
          <w:szCs w:val="24"/>
          <w:lang w:val="uk-UA" w:eastAsia="ru-RU"/>
        </w:rPr>
        <w:t xml:space="preserve">Таким чином, прийняття даного регуляторного </w:t>
      </w:r>
      <w:proofErr w:type="spellStart"/>
      <w:r w:rsidR="00015673" w:rsidRPr="00FA7522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="00015673" w:rsidRPr="00FA7522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цілей, визначених при</w:t>
      </w:r>
      <w:r w:rsidR="00015673" w:rsidRPr="008D17AB">
        <w:rPr>
          <w:rFonts w:ascii="Times New Roman" w:hAnsi="Times New Roman"/>
          <w:sz w:val="24"/>
          <w:szCs w:val="24"/>
          <w:lang w:val="uk-UA" w:eastAsia="ru-RU"/>
        </w:rPr>
        <w:t xml:space="preserve"> його затвердженні.</w:t>
      </w:r>
    </w:p>
    <w:p w:rsidR="00FA7522" w:rsidRPr="00FA7522" w:rsidRDefault="008D17AB" w:rsidP="000263BB">
      <w:pPr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lastRenderedPageBreak/>
        <w:t>Низькій відсоток надходжень до місцевого бюджету у порівнянні з аналогічним періодом 2021 рок</w:t>
      </w:r>
      <w:r w:rsidR="00216131">
        <w:rPr>
          <w:rFonts w:ascii="Times New Roman" w:hAnsi="Times New Roman"/>
          <w:sz w:val="24"/>
          <w:szCs w:val="24"/>
          <w:lang w:val="uk-UA" w:eastAsia="ru-RU"/>
        </w:rPr>
        <w:t>у зумовлений прийняттям Закону У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країни </w:t>
      </w:r>
      <w:r w:rsidRPr="008D17AB">
        <w:rPr>
          <w:rFonts w:ascii="Times New Roman" w:hAnsi="Times New Roman"/>
          <w:sz w:val="24"/>
          <w:szCs w:val="24"/>
          <w:lang w:val="uk-UA" w:eastAsia="ru-RU"/>
        </w:rPr>
        <w:t>«Про внесення змін до Податкового кодексу України та інших законодавчих актів України щодо дії норм на період дії воєнного стану» №2120 від 15.03.2022 року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>, який</w:t>
      </w:r>
      <w:r w:rsidRPr="008D17AB">
        <w:rPr>
          <w:rFonts w:ascii="Times New Roman" w:hAnsi="Times New Roman"/>
          <w:sz w:val="24"/>
          <w:szCs w:val="24"/>
          <w:lang w:val="uk-UA" w:eastAsia="ru-RU"/>
        </w:rPr>
        <w:t xml:space="preserve"> передбачає особливості справляння 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 xml:space="preserve">земельного </w:t>
      </w:r>
      <w:r w:rsidRPr="008D17AB">
        <w:rPr>
          <w:rFonts w:ascii="Times New Roman" w:hAnsi="Times New Roman"/>
          <w:sz w:val="24"/>
          <w:szCs w:val="24"/>
          <w:lang w:val="uk-UA" w:eastAsia="ru-RU"/>
        </w:rPr>
        <w:t>под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атку під час дії воєнного стану, </w:t>
      </w:r>
      <w:r w:rsidR="00216131">
        <w:rPr>
          <w:rFonts w:ascii="Times New Roman" w:hAnsi="Times New Roman"/>
          <w:sz w:val="24"/>
          <w:szCs w:val="24"/>
          <w:lang w:val="uk-UA" w:eastAsia="ru-RU"/>
        </w:rPr>
        <w:t xml:space="preserve">скасування нарахування пені за несвоєчасну сплату 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 xml:space="preserve">земельного </w:t>
      </w:r>
      <w:r w:rsidR="00216131">
        <w:rPr>
          <w:rFonts w:ascii="Times New Roman" w:hAnsi="Times New Roman"/>
          <w:sz w:val="24"/>
          <w:szCs w:val="24"/>
          <w:lang w:val="uk-UA" w:eastAsia="ru-RU"/>
        </w:rPr>
        <w:t xml:space="preserve">податку </w:t>
      </w:r>
      <w:r w:rsidR="00216131" w:rsidRPr="00216131">
        <w:rPr>
          <w:rFonts w:ascii="Times New Roman" w:hAnsi="Times New Roman"/>
          <w:sz w:val="24"/>
          <w:szCs w:val="24"/>
          <w:lang w:val="uk-UA" w:eastAsia="ru-RU"/>
        </w:rPr>
        <w:t>відповідно до підпункту 129.9.7</w:t>
      </w:r>
      <w:r w:rsidR="00216131">
        <w:rPr>
          <w:rFonts w:ascii="Times New Roman" w:hAnsi="Times New Roman"/>
          <w:sz w:val="24"/>
          <w:szCs w:val="24"/>
          <w:lang w:val="uk-UA" w:eastAsia="ru-RU"/>
        </w:rPr>
        <w:t xml:space="preserve"> Податкового кодексу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>. Н</w:t>
      </w:r>
      <w:r w:rsidR="00B545EB">
        <w:rPr>
          <w:rFonts w:ascii="Times New Roman" w:hAnsi="Times New Roman"/>
          <w:sz w:val="24"/>
          <w:szCs w:val="24"/>
          <w:lang w:val="uk-UA" w:eastAsia="ru-RU"/>
        </w:rPr>
        <w:t>еоднозначність з</w:t>
      </w:r>
      <w:r w:rsidR="00B545EB" w:rsidRPr="00B545EB">
        <w:rPr>
          <w:rFonts w:ascii="Times New Roman" w:hAnsi="Times New Roman"/>
          <w:sz w:val="24"/>
          <w:szCs w:val="24"/>
          <w:lang w:val="uk-UA" w:eastAsia="ru-RU"/>
        </w:rPr>
        <w:t>аконодавство, що регулює адміністрування плати за землю</w:t>
      </w:r>
      <w:r w:rsidR="00B545EB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>впливає</w:t>
      </w:r>
      <w:r w:rsidR="00B545EB">
        <w:rPr>
          <w:rFonts w:ascii="Times New Roman" w:hAnsi="Times New Roman"/>
          <w:sz w:val="24"/>
          <w:szCs w:val="24"/>
          <w:lang w:val="uk-UA" w:eastAsia="ru-RU"/>
        </w:rPr>
        <w:t xml:space="preserve"> на 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 xml:space="preserve">своєчасне </w:t>
      </w:r>
      <w:r w:rsidR="00B545EB">
        <w:rPr>
          <w:rFonts w:ascii="Times New Roman" w:hAnsi="Times New Roman"/>
          <w:sz w:val="24"/>
          <w:szCs w:val="24"/>
          <w:lang w:val="uk-UA" w:eastAsia="ru-RU"/>
        </w:rPr>
        <w:t xml:space="preserve">виконання 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>платниками земельного</w:t>
      </w:r>
      <w:r w:rsidR="00B545E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015673">
        <w:rPr>
          <w:rFonts w:ascii="Times New Roman" w:hAnsi="Times New Roman"/>
          <w:sz w:val="24"/>
          <w:szCs w:val="24"/>
          <w:lang w:val="uk-UA" w:eastAsia="ru-RU"/>
        </w:rPr>
        <w:t>податку своїх податкових зобов’язань.</w:t>
      </w:r>
    </w:p>
    <w:p w:rsidR="00067911" w:rsidRPr="00015673" w:rsidRDefault="00067911" w:rsidP="00DF6E34">
      <w:pPr>
        <w:spacing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67911" w:rsidRPr="00015673" w:rsidTr="000D224C">
        <w:trPr>
          <w:tblCellSpacing w:w="15" w:type="dxa"/>
        </w:trPr>
        <w:tc>
          <w:tcPr>
            <w:tcW w:w="0" w:type="auto"/>
          </w:tcPr>
          <w:p w:rsidR="00067911" w:rsidRPr="00015673" w:rsidRDefault="00067911" w:rsidP="00DF6E34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0263BB" w:rsidRPr="000263BB" w:rsidRDefault="000263BB" w:rsidP="00026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263BB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:rsidR="000263BB" w:rsidRPr="000263BB" w:rsidRDefault="000263BB" w:rsidP="00026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263BB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розвитку, інвестицій</w:t>
      </w:r>
    </w:p>
    <w:p w:rsidR="000263BB" w:rsidRPr="000263BB" w:rsidRDefault="000263BB" w:rsidP="000263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263BB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та цифрової трансформації                        </w:t>
      </w:r>
      <w:r w:rsidRPr="000263BB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                  Тетяна ЛІПІНСЬКА</w:t>
      </w:r>
    </w:p>
    <w:p w:rsidR="000263BB" w:rsidRPr="000263BB" w:rsidRDefault="000263BB" w:rsidP="000263BB">
      <w:pPr>
        <w:rPr>
          <w:lang w:val="uk-UA"/>
        </w:rPr>
      </w:pPr>
    </w:p>
    <w:p w:rsidR="000263BB" w:rsidRPr="000263BB" w:rsidRDefault="000263BB" w:rsidP="000263B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Виконавець </w:t>
      </w:r>
    </w:p>
    <w:p w:rsidR="000263BB" w:rsidRPr="000263BB" w:rsidRDefault="000263BB" w:rsidP="000263B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Головний спеціаліст відділу економічного </w:t>
      </w:r>
    </w:p>
    <w:p w:rsidR="000263BB" w:rsidRPr="000263BB" w:rsidRDefault="000263BB" w:rsidP="000263BB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розвитку, інвестицій та цифрової трансформації</w:t>
      </w: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0263BB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  <w:t xml:space="preserve">                        Олександр СТАСЮК</w:t>
      </w:r>
    </w:p>
    <w:p w:rsidR="003130EE" w:rsidRPr="00E25C4E" w:rsidRDefault="003130EE" w:rsidP="00E25C4E">
      <w:pPr>
        <w:spacing w:before="100" w:before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3130EE" w:rsidRPr="00E25C4E" w:rsidSect="008D17A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CA84E13"/>
    <w:multiLevelType w:val="hybridMultilevel"/>
    <w:tmpl w:val="EA0A1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A2867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76"/>
    <w:rsid w:val="00015673"/>
    <w:rsid w:val="000263BB"/>
    <w:rsid w:val="00061947"/>
    <w:rsid w:val="00067911"/>
    <w:rsid w:val="001A1A2B"/>
    <w:rsid w:val="001A4A16"/>
    <w:rsid w:val="00216131"/>
    <w:rsid w:val="003130EE"/>
    <w:rsid w:val="003D33FE"/>
    <w:rsid w:val="004653A2"/>
    <w:rsid w:val="00591875"/>
    <w:rsid w:val="006A182F"/>
    <w:rsid w:val="00762A40"/>
    <w:rsid w:val="00867C75"/>
    <w:rsid w:val="008D17AB"/>
    <w:rsid w:val="00991183"/>
    <w:rsid w:val="00A01276"/>
    <w:rsid w:val="00A175E0"/>
    <w:rsid w:val="00A7171F"/>
    <w:rsid w:val="00B545EB"/>
    <w:rsid w:val="00B70EA9"/>
    <w:rsid w:val="00CD3DE9"/>
    <w:rsid w:val="00CD4483"/>
    <w:rsid w:val="00DA6752"/>
    <w:rsid w:val="00DE7F20"/>
    <w:rsid w:val="00DF6E34"/>
    <w:rsid w:val="00E25C4E"/>
    <w:rsid w:val="00F03AA1"/>
    <w:rsid w:val="00F66DE6"/>
    <w:rsid w:val="00FA7522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66EB"/>
  <w15:chartTrackingRefBased/>
  <w15:docId w15:val="{101B870F-5314-467D-A019-A9BA2AAF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1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2023-11-20T10:51:00Z</dcterms:created>
  <dcterms:modified xsi:type="dcterms:W3CDTF">2023-11-20T10:51:00Z</dcterms:modified>
</cp:coreProperties>
</file>