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4E342D"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05</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4</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2449</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C36690">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bookmarkStart w:id="4" w:name="_Hlk163807328"/>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4E342D">
        <w:rPr>
          <w:rFonts w:ascii="Times New Roman" w:eastAsia="Times New Roman" w:hAnsi="Times New Roman" w:cs="Times New Roman"/>
          <w:sz w:val="26"/>
          <w:szCs w:val="26"/>
          <w:lang w:val="uk-UA"/>
        </w:rPr>
        <w:t>102</w:t>
      </w:r>
      <w:r w:rsidRPr="00BB3118">
        <w:rPr>
          <w:rFonts w:ascii="Times New Roman" w:eastAsia="Times New Roman" w:hAnsi="Times New Roman" w:cs="Times New Roman"/>
          <w:sz w:val="26"/>
          <w:szCs w:val="26"/>
          <w:lang w:val="uk-UA"/>
        </w:rPr>
        <w:t xml:space="preserve">-С від </w:t>
      </w:r>
      <w:r w:rsidR="004E342D">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r w:rsidR="004E342D">
        <w:rPr>
          <w:rFonts w:ascii="Times New Roman" w:eastAsia="Times New Roman" w:hAnsi="Times New Roman" w:cs="Times New Roman"/>
          <w:sz w:val="26"/>
          <w:szCs w:val="26"/>
          <w:lang w:val="uk-UA"/>
        </w:rPr>
        <w:t>Сікорському П.А.</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D06A08">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 ЗВ-</w:t>
      </w:r>
      <w:r w:rsidR="004E342D">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4E342D">
        <w:rPr>
          <w:rFonts w:ascii="Times New Roman" w:eastAsia="Times New Roman" w:hAnsi="Times New Roman" w:cs="Times New Roman"/>
          <w:sz w:val="26"/>
          <w:szCs w:val="26"/>
          <w:lang w:val="uk-UA"/>
        </w:rPr>
        <w:t>88923</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5F143D" w:rsidRDefault="00D16194" w:rsidP="005F143D">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5" w:name="_Hlk159572305"/>
      <w:bookmarkStart w:id="6" w:name="_Hlk162865816"/>
      <w:bookmarkEnd w:id="4"/>
      <w:r w:rsidRPr="00BB3118">
        <w:rPr>
          <w:rFonts w:ascii="Times New Roman" w:eastAsia="Times New Roman" w:hAnsi="Times New Roman" w:cs="Times New Roman"/>
          <w:sz w:val="26"/>
          <w:szCs w:val="26"/>
          <w:lang w:val="uk-UA"/>
        </w:rPr>
        <w:t xml:space="preserve">Рішення № </w:t>
      </w:r>
      <w:r w:rsidR="004E342D">
        <w:rPr>
          <w:rFonts w:ascii="Times New Roman" w:eastAsia="Times New Roman" w:hAnsi="Times New Roman" w:cs="Times New Roman"/>
          <w:sz w:val="26"/>
          <w:szCs w:val="26"/>
          <w:lang w:val="uk-UA"/>
        </w:rPr>
        <w:t>103</w:t>
      </w:r>
      <w:r w:rsidRPr="00BB3118">
        <w:rPr>
          <w:rFonts w:ascii="Times New Roman" w:eastAsia="Times New Roman" w:hAnsi="Times New Roman" w:cs="Times New Roman"/>
          <w:sz w:val="26"/>
          <w:szCs w:val="26"/>
          <w:lang w:val="uk-UA"/>
        </w:rPr>
        <w:t xml:space="preserve">-С від </w:t>
      </w:r>
      <w:r w:rsidR="004E342D">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.2024 р. «Про надання </w:t>
      </w:r>
      <w:r w:rsidR="004E342D">
        <w:rPr>
          <w:rFonts w:ascii="Times New Roman" w:eastAsia="Times New Roman" w:hAnsi="Times New Roman" w:cs="Times New Roman"/>
          <w:sz w:val="26"/>
          <w:szCs w:val="26"/>
          <w:lang w:val="uk-UA"/>
        </w:rPr>
        <w:t>Коломийко М.О.</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 xml:space="preserve">компенсації </w:t>
      </w:r>
      <w:r w:rsidR="00912D4F" w:rsidRPr="00D06A08">
        <w:rPr>
          <w:rFonts w:ascii="Times New Roman" w:eastAsia="Times New Roman" w:hAnsi="Times New Roman" w:cs="Times New Roman"/>
          <w:sz w:val="26"/>
          <w:szCs w:val="26"/>
          <w:lang w:val="uk-UA"/>
        </w:rPr>
        <w:t xml:space="preserve">за знищений об'єкт нерухомого майна шляхом </w:t>
      </w:r>
      <w:r w:rsidR="00912D4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912D4F" w:rsidRPr="00D06A08">
        <w:rPr>
          <w:rFonts w:ascii="Times New Roman" w:eastAsia="Times New Roman" w:hAnsi="Times New Roman" w:cs="Times New Roman"/>
          <w:sz w:val="26"/>
          <w:szCs w:val="26"/>
          <w:lang w:val="uk-UA"/>
        </w:rPr>
        <w:t xml:space="preserve"> за заявою № ЗВ-</w:t>
      </w:r>
      <w:r w:rsidR="00912D4F">
        <w:rPr>
          <w:rFonts w:ascii="Times New Roman" w:eastAsia="Times New Roman" w:hAnsi="Times New Roman" w:cs="Times New Roman"/>
          <w:sz w:val="26"/>
          <w:szCs w:val="26"/>
          <w:lang w:val="uk-UA"/>
        </w:rPr>
        <w:t>1</w:t>
      </w:r>
      <w:r w:rsidR="004E342D">
        <w:rPr>
          <w:rFonts w:ascii="Times New Roman" w:eastAsia="Times New Roman" w:hAnsi="Times New Roman" w:cs="Times New Roman"/>
          <w:sz w:val="26"/>
          <w:szCs w:val="26"/>
          <w:lang w:val="uk-UA"/>
        </w:rPr>
        <w:t>3</w:t>
      </w:r>
      <w:r w:rsidR="00912D4F" w:rsidRPr="00D06A08">
        <w:rPr>
          <w:rFonts w:ascii="Times New Roman" w:eastAsia="Times New Roman" w:hAnsi="Times New Roman" w:cs="Times New Roman"/>
          <w:sz w:val="26"/>
          <w:szCs w:val="26"/>
          <w:lang w:val="uk-UA"/>
        </w:rPr>
        <w:t>.02.2024-</w:t>
      </w:r>
      <w:r w:rsidR="004E342D">
        <w:rPr>
          <w:rFonts w:ascii="Times New Roman" w:eastAsia="Times New Roman" w:hAnsi="Times New Roman" w:cs="Times New Roman"/>
          <w:sz w:val="26"/>
          <w:szCs w:val="26"/>
          <w:lang w:val="uk-UA"/>
        </w:rPr>
        <w:t>90600</w:t>
      </w:r>
      <w:r w:rsidR="00793092">
        <w:rPr>
          <w:rFonts w:ascii="Times New Roman" w:eastAsia="Times New Roman" w:hAnsi="Times New Roman" w:cs="Times New Roman"/>
          <w:sz w:val="26"/>
          <w:szCs w:val="26"/>
          <w:lang w:val="uk-UA"/>
        </w:rPr>
        <w:t>»;</w:t>
      </w:r>
      <w:bookmarkEnd w:id="2"/>
      <w:bookmarkEnd w:id="3"/>
      <w:bookmarkEnd w:id="5"/>
    </w:p>
    <w:p w:rsidR="004E342D" w:rsidRPr="004E342D" w:rsidRDefault="004E342D" w:rsidP="004E342D">
      <w:pPr>
        <w:pStyle w:val="a6"/>
        <w:numPr>
          <w:ilvl w:val="1"/>
          <w:numId w:val="7"/>
        </w:numPr>
        <w:spacing w:line="276" w:lineRule="auto"/>
        <w:ind w:left="0" w:firstLine="709"/>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proofErr w:type="spellStart"/>
      <w:r>
        <w:rPr>
          <w:rFonts w:ascii="Times New Roman" w:eastAsia="Times New Roman" w:hAnsi="Times New Roman" w:cs="Times New Roman"/>
          <w:sz w:val="26"/>
          <w:szCs w:val="26"/>
          <w:lang w:val="uk-UA"/>
        </w:rPr>
        <w:t>Дехтярук</w:t>
      </w:r>
      <w:proofErr w:type="spellEnd"/>
      <w:r>
        <w:rPr>
          <w:rFonts w:ascii="Times New Roman" w:eastAsia="Times New Roman" w:hAnsi="Times New Roman" w:cs="Times New Roman"/>
          <w:sz w:val="26"/>
          <w:szCs w:val="26"/>
          <w:lang w:val="uk-UA"/>
        </w:rPr>
        <w:t xml:space="preserve"> А.П.</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 xml:space="preserve">надання грошових коштів </w:t>
      </w:r>
      <w:r>
        <w:rPr>
          <w:rFonts w:ascii="Times New Roman" w:eastAsia="Times New Roman" w:hAnsi="Times New Roman" w:cs="Times New Roman"/>
          <w:sz w:val="26"/>
          <w:szCs w:val="26"/>
          <w:lang w:val="uk-UA"/>
        </w:rPr>
        <w:lastRenderedPageBreak/>
        <w:t>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14</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90972</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bookmarkEnd w:id="6"/>
    <w:p w:rsidR="000323E2" w:rsidRPr="00BB3118" w:rsidRDefault="004E201C" w:rsidP="005D2FDA">
      <w:pPr>
        <w:pStyle w:val="a6"/>
        <w:spacing w:line="276" w:lineRule="auto"/>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4E201C" w:rsidP="005D2FDA">
      <w:pPr>
        <w:tabs>
          <w:tab w:val="left" w:pos="426"/>
        </w:tabs>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905E26" w:rsidRPr="005F143D" w:rsidRDefault="00905E26" w:rsidP="0087665A">
      <w:pPr>
        <w:rPr>
          <w:rFonts w:ascii="Times New Roman" w:eastAsia="Times New Roman" w:hAnsi="Times New Roman" w:cs="Times New Roman"/>
          <w:b/>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F41777" w:rsidRDefault="00F41777" w:rsidP="006277DA">
      <w:pPr>
        <w:spacing w:after="0" w:line="240" w:lineRule="auto"/>
      </w:pP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4E342D" w:rsidRPr="002D15E8" w:rsidTr="004E342D">
        <w:trPr>
          <w:trHeight w:val="1250"/>
        </w:trPr>
        <w:tc>
          <w:tcPr>
            <w:tcW w:w="2904" w:type="dxa"/>
          </w:tcPr>
          <w:p w:rsidR="004E342D" w:rsidRDefault="004E342D" w:rsidP="004E342D">
            <w:pPr>
              <w:widowControl w:val="0"/>
              <w:tabs>
                <w:tab w:val="left" w:pos="1313"/>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4E342D" w:rsidRPr="002D15E8"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Default="004E342D" w:rsidP="004E342D">
            <w:pPr>
              <w:widowControl w:val="0"/>
              <w:tabs>
                <w:tab w:val="left" w:pos="0"/>
              </w:tabs>
              <w:spacing w:after="0" w:line="240" w:lineRule="auto"/>
              <w:rPr>
                <w:rFonts w:ascii="Times New Roman" w:hAnsi="Times New Roman" w:cs="Calibri"/>
                <w:b/>
                <w:sz w:val="24"/>
                <w:szCs w:val="24"/>
                <w:lang w:val="uk-UA" w:eastAsia="uk-UA"/>
              </w:rPr>
            </w:pPr>
          </w:p>
          <w:p w:rsidR="004E342D" w:rsidRPr="002D15E8" w:rsidRDefault="004E342D" w:rsidP="004E342D">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05</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.2024 р.)</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Pr="004172C9">
              <w:rPr>
                <w:rFonts w:ascii="Times New Roman" w:eastAsia="Times New Roman" w:hAnsi="Times New Roman" w:cs="Calibri"/>
                <w:i/>
                <w:lang w:val="uk-UA" w:eastAsia="uk-UA"/>
              </w:rPr>
              <w:t xml:space="preserve">05.04.2024 </w:t>
            </w:r>
            <w:r w:rsidRPr="002D15E8">
              <w:rPr>
                <w:rFonts w:ascii="Times New Roman" w:eastAsia="Times New Roman" w:hAnsi="Times New Roman" w:cs="Calibri"/>
                <w:i/>
                <w:lang w:val="uk-UA" w:eastAsia="uk-UA"/>
              </w:rPr>
              <w:t>р.)</w:t>
            </w:r>
          </w:p>
          <w:p w:rsidR="004E342D" w:rsidRPr="002D15E8" w:rsidRDefault="004E342D" w:rsidP="004E342D">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4E342D" w:rsidRPr="002D15E8" w:rsidTr="004E342D">
        <w:trPr>
          <w:trHeight w:val="1250"/>
        </w:trPr>
        <w:tc>
          <w:tcPr>
            <w:tcW w:w="2904" w:type="dxa"/>
          </w:tcPr>
          <w:p w:rsidR="004E342D" w:rsidRPr="002D15E8" w:rsidRDefault="004E342D" w:rsidP="004E342D">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4E342D" w:rsidRPr="002D15E8" w:rsidRDefault="004E342D" w:rsidP="004E342D">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4E342D" w:rsidRPr="002D15E8" w:rsidRDefault="004E342D" w:rsidP="004E342D">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Pr="004172C9">
              <w:rPr>
                <w:rFonts w:ascii="Times New Roman" w:eastAsia="Times New Roman" w:hAnsi="Times New Roman" w:cs="Calibri"/>
                <w:i/>
                <w:lang w:val="uk-UA" w:eastAsia="uk-UA"/>
              </w:rPr>
              <w:t xml:space="preserve">05.04.2024 </w:t>
            </w:r>
            <w:r w:rsidRPr="002D15E8">
              <w:rPr>
                <w:rFonts w:ascii="Times New Roman" w:eastAsia="Times New Roman" w:hAnsi="Times New Roman" w:cs="Calibri"/>
                <w:i/>
                <w:lang w:val="uk-UA" w:eastAsia="uk-UA"/>
              </w:rPr>
              <w:t>р.)</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4E342D" w:rsidRPr="002D15E8" w:rsidTr="004E342D">
        <w:trPr>
          <w:trHeight w:val="1250"/>
        </w:trPr>
        <w:tc>
          <w:tcPr>
            <w:tcW w:w="2904" w:type="dxa"/>
          </w:tcPr>
          <w:p w:rsidR="004E342D" w:rsidRPr="002D15E8" w:rsidRDefault="004E342D" w:rsidP="004E342D">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4E342D" w:rsidRPr="002D15E8" w:rsidRDefault="004E342D" w:rsidP="004E342D">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Pr="004172C9">
              <w:rPr>
                <w:rFonts w:ascii="Times New Roman" w:eastAsia="Times New Roman" w:hAnsi="Times New Roman" w:cs="Calibri"/>
                <w:i/>
                <w:lang w:val="uk-UA" w:eastAsia="uk-UA"/>
              </w:rPr>
              <w:t xml:space="preserve">05.04.2024 </w:t>
            </w:r>
            <w:r w:rsidRPr="002D15E8">
              <w:rPr>
                <w:rFonts w:ascii="Times New Roman" w:eastAsia="Times New Roman" w:hAnsi="Times New Roman" w:cs="Calibri"/>
                <w:i/>
                <w:lang w:val="uk-UA" w:eastAsia="uk-UA"/>
              </w:rPr>
              <w:t>р.)</w:t>
            </w:r>
          </w:p>
          <w:p w:rsidR="004E342D" w:rsidRPr="002D15E8" w:rsidRDefault="004E342D" w:rsidP="004E342D">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4E342D" w:rsidRPr="002D15E8" w:rsidRDefault="004E342D" w:rsidP="004E342D">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F41777" w:rsidRDefault="00F41777" w:rsidP="006277DA">
      <w:pPr>
        <w:spacing w:after="0" w:line="240" w:lineRule="auto"/>
      </w:pPr>
    </w:p>
    <w:p w:rsidR="00F41777" w:rsidRPr="006277DA" w:rsidRDefault="00F41777" w:rsidP="006277DA">
      <w:pPr>
        <w:spacing w:after="0" w:line="240" w:lineRule="auto"/>
        <w:rPr>
          <w:rFonts w:ascii="Times New Roman" w:eastAsia="Times New Roman" w:hAnsi="Times New Roman" w:cs="Times New Roman"/>
          <w:b/>
          <w:sz w:val="28"/>
          <w:szCs w:val="28"/>
          <w:lang w:val="uk-UA" w:eastAsia="uk-UA"/>
        </w:rPr>
      </w:pPr>
    </w:p>
    <w:p w:rsidR="007A54C9" w:rsidRDefault="007A54C9" w:rsidP="0087665A">
      <w:pPr>
        <w:spacing w:after="0" w:line="240" w:lineRule="auto"/>
      </w:pPr>
    </w:p>
    <w:sectPr w:rsidR="007A54C9" w:rsidSect="005F143D">
      <w:headerReference w:type="default" r:id="rId9"/>
      <w:pgSz w:w="11906" w:h="16838"/>
      <w:pgMar w:top="993"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3447" w:rsidRDefault="00A63447" w:rsidP="00D51DBE">
      <w:pPr>
        <w:spacing w:after="0" w:line="240" w:lineRule="auto"/>
      </w:pPr>
      <w:r>
        <w:separator/>
      </w:r>
    </w:p>
  </w:endnote>
  <w:endnote w:type="continuationSeparator" w:id="0">
    <w:p w:rsidR="00A63447" w:rsidRDefault="00A63447"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3447" w:rsidRDefault="00A63447" w:rsidP="00D51DBE">
      <w:pPr>
        <w:spacing w:after="0" w:line="240" w:lineRule="auto"/>
      </w:pPr>
      <w:r>
        <w:separator/>
      </w:r>
    </w:p>
  </w:footnote>
  <w:footnote w:type="continuationSeparator" w:id="0">
    <w:p w:rsidR="00A63447" w:rsidRDefault="00A63447"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A63447">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47DD7"/>
    <w:rsid w:val="000558D4"/>
    <w:rsid w:val="00073A3B"/>
    <w:rsid w:val="000937C3"/>
    <w:rsid w:val="00094131"/>
    <w:rsid w:val="000A02BC"/>
    <w:rsid w:val="000C1D50"/>
    <w:rsid w:val="00116854"/>
    <w:rsid w:val="00126F06"/>
    <w:rsid w:val="001414F1"/>
    <w:rsid w:val="0017279A"/>
    <w:rsid w:val="001805FE"/>
    <w:rsid w:val="001B627A"/>
    <w:rsid w:val="001D02D0"/>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201C"/>
    <w:rsid w:val="004E30F3"/>
    <w:rsid w:val="004E342D"/>
    <w:rsid w:val="004E76CE"/>
    <w:rsid w:val="00514B63"/>
    <w:rsid w:val="0054229F"/>
    <w:rsid w:val="005429DC"/>
    <w:rsid w:val="00546D08"/>
    <w:rsid w:val="00561005"/>
    <w:rsid w:val="00577937"/>
    <w:rsid w:val="005851A3"/>
    <w:rsid w:val="00591296"/>
    <w:rsid w:val="005D2FDA"/>
    <w:rsid w:val="005D41CB"/>
    <w:rsid w:val="005F143D"/>
    <w:rsid w:val="0061327D"/>
    <w:rsid w:val="006277DA"/>
    <w:rsid w:val="0065769B"/>
    <w:rsid w:val="006801C1"/>
    <w:rsid w:val="006960AC"/>
    <w:rsid w:val="006C48C6"/>
    <w:rsid w:val="006D08BD"/>
    <w:rsid w:val="006D3B3F"/>
    <w:rsid w:val="00726DC3"/>
    <w:rsid w:val="00730506"/>
    <w:rsid w:val="0076155A"/>
    <w:rsid w:val="007728FE"/>
    <w:rsid w:val="00793092"/>
    <w:rsid w:val="007A54C9"/>
    <w:rsid w:val="007B33B1"/>
    <w:rsid w:val="007D7E32"/>
    <w:rsid w:val="007E642B"/>
    <w:rsid w:val="007E7D6D"/>
    <w:rsid w:val="008124EB"/>
    <w:rsid w:val="0085502A"/>
    <w:rsid w:val="008710D2"/>
    <w:rsid w:val="0087665A"/>
    <w:rsid w:val="00882AEE"/>
    <w:rsid w:val="00894F81"/>
    <w:rsid w:val="008A6D2E"/>
    <w:rsid w:val="008F4674"/>
    <w:rsid w:val="0090225F"/>
    <w:rsid w:val="00905E26"/>
    <w:rsid w:val="00912D4F"/>
    <w:rsid w:val="00923CD9"/>
    <w:rsid w:val="00924E0F"/>
    <w:rsid w:val="009A7EE4"/>
    <w:rsid w:val="009B5A1A"/>
    <w:rsid w:val="009D0E6A"/>
    <w:rsid w:val="00A57821"/>
    <w:rsid w:val="00A61E0B"/>
    <w:rsid w:val="00A63447"/>
    <w:rsid w:val="00A92349"/>
    <w:rsid w:val="00AB7492"/>
    <w:rsid w:val="00AF0E9C"/>
    <w:rsid w:val="00B61CD6"/>
    <w:rsid w:val="00B82B46"/>
    <w:rsid w:val="00BA2EFE"/>
    <w:rsid w:val="00BB3118"/>
    <w:rsid w:val="00BF37FE"/>
    <w:rsid w:val="00BF3A50"/>
    <w:rsid w:val="00C02D98"/>
    <w:rsid w:val="00C36690"/>
    <w:rsid w:val="00C650FD"/>
    <w:rsid w:val="00CA0972"/>
    <w:rsid w:val="00CB3179"/>
    <w:rsid w:val="00CB65D2"/>
    <w:rsid w:val="00D06A08"/>
    <w:rsid w:val="00D141C7"/>
    <w:rsid w:val="00D16194"/>
    <w:rsid w:val="00D2190E"/>
    <w:rsid w:val="00D35E65"/>
    <w:rsid w:val="00D51D10"/>
    <w:rsid w:val="00D51DBE"/>
    <w:rsid w:val="00D60EB7"/>
    <w:rsid w:val="00D97401"/>
    <w:rsid w:val="00DB127F"/>
    <w:rsid w:val="00E21877"/>
    <w:rsid w:val="00E32C44"/>
    <w:rsid w:val="00E5113C"/>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3B1E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3</Pages>
  <Words>2200</Words>
  <Characters>1254</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77</cp:revision>
  <cp:lastPrinted>2024-04-04T06:14:00Z</cp:lastPrinted>
  <dcterms:created xsi:type="dcterms:W3CDTF">2023-06-15T13:23:00Z</dcterms:created>
  <dcterms:modified xsi:type="dcterms:W3CDTF">2024-04-12T06:44:00Z</dcterms:modified>
</cp:coreProperties>
</file>