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4D0C20" w:rsidRPr="00133170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A1A3A">
        <w:rPr>
          <w:sz w:val="22"/>
          <w:szCs w:val="22"/>
          <w:lang w:val="uk-UA"/>
        </w:rPr>
        <w:t>Послуги з о</w:t>
      </w:r>
      <w:bookmarkStart w:id="0" w:name="_GoBack"/>
      <w:bookmarkEnd w:id="0"/>
      <w:r w:rsidR="005A0947" w:rsidRPr="00133170">
        <w:rPr>
          <w:sz w:val="22"/>
          <w:szCs w:val="22"/>
          <w:lang w:val="uk-UA"/>
        </w:rPr>
        <w:t xml:space="preserve">рганізації та проведення </w:t>
      </w:r>
      <w:r w:rsidR="00A449C8">
        <w:rPr>
          <w:sz w:val="22"/>
          <w:szCs w:val="22"/>
          <w:lang w:val="uk-UA"/>
        </w:rPr>
        <w:t xml:space="preserve">святкового концерту Ігоря </w:t>
      </w:r>
      <w:proofErr w:type="spellStart"/>
      <w:r w:rsidR="00A449C8">
        <w:rPr>
          <w:sz w:val="22"/>
          <w:szCs w:val="22"/>
          <w:lang w:val="uk-UA"/>
        </w:rPr>
        <w:t>Поклада</w:t>
      </w:r>
      <w:proofErr w:type="spellEnd"/>
      <w:r w:rsidR="00A449C8">
        <w:rPr>
          <w:sz w:val="22"/>
          <w:szCs w:val="22"/>
          <w:lang w:val="uk-UA"/>
        </w:rPr>
        <w:t xml:space="preserve"> «Пісня живе поміж нас»</w:t>
      </w:r>
      <w:r w:rsidR="005A0947" w:rsidRPr="00133170">
        <w:rPr>
          <w:b/>
          <w:sz w:val="22"/>
          <w:szCs w:val="22"/>
          <w:lang w:val="uk-UA"/>
        </w:rPr>
        <w:t xml:space="preserve"> </w:t>
      </w:r>
      <w:r w:rsidR="009C7E34" w:rsidRPr="00133170">
        <w:rPr>
          <w:color w:val="000000" w:themeColor="text1"/>
          <w:sz w:val="22"/>
          <w:szCs w:val="22"/>
          <w:lang w:val="uk-UA"/>
        </w:rPr>
        <w:t>ДК 021:2015 79950000-8 Послуги з організації виставок, ярмарок і конгресів</w:t>
      </w:r>
    </w:p>
    <w:p w:rsidR="009C7E34" w:rsidRPr="00133170" w:rsidRDefault="009C7E34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756316">
        <w:rPr>
          <w:lang w:val="uk-UA"/>
        </w:rPr>
        <w:t xml:space="preserve"> </w:t>
      </w:r>
      <w:hyperlink r:id="rId5" w:tgtFrame="_blank" w:history="1">
        <w:r w:rsidR="004912F2" w:rsidRPr="007563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4912F2" w:rsidRPr="007563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-2024-08-29-009561-</w:t>
        </w:r>
        <w:r w:rsidR="004912F2" w:rsidRPr="007563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33170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E90755">
        <w:rPr>
          <w:b/>
          <w:sz w:val="22"/>
          <w:szCs w:val="22"/>
          <w:lang w:val="uk-UA"/>
        </w:rPr>
        <w:t>Додатку №1</w:t>
      </w:r>
      <w:r w:rsidR="00D908AB" w:rsidRPr="00133170">
        <w:rPr>
          <w:b/>
          <w:sz w:val="22"/>
          <w:szCs w:val="22"/>
          <w:lang w:val="uk-UA"/>
        </w:rPr>
        <w:t xml:space="preserve"> </w:t>
      </w:r>
      <w:r w:rsidR="00D908AB" w:rsidRPr="00133170">
        <w:rPr>
          <w:sz w:val="22"/>
          <w:szCs w:val="22"/>
          <w:lang w:val="uk-UA"/>
        </w:rPr>
        <w:t xml:space="preserve"> до тендерної документації.</w:t>
      </w:r>
      <w:r w:rsidR="00E90755">
        <w:rPr>
          <w:sz w:val="22"/>
          <w:szCs w:val="22"/>
          <w:lang w:val="uk-UA"/>
        </w:rPr>
        <w:t xml:space="preserve"> Термін надання послуги: 28.09</w:t>
      </w:r>
      <w:r w:rsidR="00A62F33">
        <w:rPr>
          <w:sz w:val="22"/>
          <w:szCs w:val="22"/>
          <w:lang w:val="uk-UA"/>
        </w:rPr>
        <w:t>.</w:t>
      </w:r>
      <w:r w:rsidR="00697A71" w:rsidRPr="00133170">
        <w:rPr>
          <w:sz w:val="22"/>
          <w:szCs w:val="22"/>
          <w:lang w:val="uk-UA"/>
        </w:rPr>
        <w:t>2024р.</w:t>
      </w:r>
    </w:p>
    <w:p w:rsidR="00284756" w:rsidRPr="00133170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03F55" w:rsidRPr="00632E77" w:rsidRDefault="006864F9" w:rsidP="00D03F55">
      <w:pPr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B04A9E" w:rsidRPr="00632E77">
        <w:rPr>
          <w:rFonts w:eastAsia="Calibri"/>
          <w:sz w:val="22"/>
          <w:szCs w:val="22"/>
          <w:lang w:val="uk-UA" w:eastAsia="en-US"/>
        </w:rPr>
        <w:t>226600,00 грн. (двісті двадцять шість тисяч шістсот гривень 00 копійок), у т.ч. ПДВ (20%) 37 766.67 грн.</w:t>
      </w:r>
    </w:p>
    <w:p w:rsidR="00A62F33" w:rsidRPr="00133170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4F786D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4F786D">
        <w:rPr>
          <w:color w:val="000000" w:themeColor="text1"/>
          <w:sz w:val="22"/>
          <w:szCs w:val="22"/>
        </w:rPr>
        <w:t>Анал</w:t>
      </w:r>
      <w:proofErr w:type="spellEnd"/>
      <w:r w:rsidRPr="004F786D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4F786D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4F786D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4F786D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4F786D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4F786D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4F786D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4F786D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12497" w:rsidRDefault="00D26FDF" w:rsidP="001C7994">
      <w:pPr>
        <w:jc w:val="both"/>
        <w:rPr>
          <w:color w:val="000000" w:themeColor="text1"/>
          <w:sz w:val="22"/>
          <w:szCs w:val="22"/>
        </w:rPr>
      </w:pPr>
    </w:p>
    <w:sectPr w:rsidR="00D26FDF" w:rsidRPr="0061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E26E3"/>
    <w:rsid w:val="002F437C"/>
    <w:rsid w:val="00346EC1"/>
    <w:rsid w:val="0035724E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C2986"/>
    <w:rsid w:val="00612497"/>
    <w:rsid w:val="00632E77"/>
    <w:rsid w:val="006864F9"/>
    <w:rsid w:val="00697A71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D01202"/>
    <w:rsid w:val="00D03F55"/>
    <w:rsid w:val="00D26FDF"/>
    <w:rsid w:val="00D524CA"/>
    <w:rsid w:val="00D908AB"/>
    <w:rsid w:val="00DA1A3A"/>
    <w:rsid w:val="00DA52B0"/>
    <w:rsid w:val="00DB1281"/>
    <w:rsid w:val="00DE7E1B"/>
    <w:rsid w:val="00E3254C"/>
    <w:rsid w:val="00E90755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9-0095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dcterms:created xsi:type="dcterms:W3CDTF">2023-03-13T14:09:00Z</dcterms:created>
  <dcterms:modified xsi:type="dcterms:W3CDTF">2024-09-02T12:04:00Z</dcterms:modified>
</cp:coreProperties>
</file>