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F3E9B" w14:textId="77777777" w:rsidR="00080F6F" w:rsidRDefault="00080F6F" w:rsidP="00B43A1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88516598"/>
    </w:p>
    <w:p w14:paraId="216FB1A8" w14:textId="77777777" w:rsidR="00080F6F" w:rsidRDefault="00080F6F" w:rsidP="00B43A1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4FB2C1" w14:textId="6011AEE7" w:rsidR="00B43A1A" w:rsidRPr="00184D49" w:rsidRDefault="00B43A1A" w:rsidP="00B43A1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84D49"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EACE3" wp14:editId="125B7FF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CEF909" w14:textId="77777777" w:rsidR="00B43A1A" w:rsidRDefault="00B43A1A" w:rsidP="00B43A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EACE3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15pt;margin-top:-20.3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" filled="f" stroked="f">
                <v:textbox style="mso-fit-shape-to-text:t">
                  <w:txbxContent>
                    <w:p w14:paraId="46CEF909" w14:textId="77777777" w:rsidR="00B43A1A" w:rsidRDefault="00B43A1A" w:rsidP="00B43A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4D49">
        <w:rPr>
          <w:rFonts w:ascii="Times New Roman" w:eastAsia="Calibri" w:hAnsi="Times New Roman" w:cs="Times New Roman"/>
          <w:sz w:val="28"/>
          <w:szCs w:val="28"/>
        </w:rPr>
        <w:object w:dxaOrig="672" w:dyaOrig="960" w14:anchorId="354C2F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02776269" r:id="rId6"/>
        </w:object>
      </w:r>
    </w:p>
    <w:p w14:paraId="1E8975A6" w14:textId="77777777" w:rsidR="00B43A1A" w:rsidRPr="00184D49" w:rsidRDefault="00B43A1A" w:rsidP="00B43A1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184D49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4D49" w:rsidRPr="00184D49" w14:paraId="7F16DAC6" w14:textId="77777777" w:rsidTr="00CB7E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A732B7C" w14:textId="77777777" w:rsidR="00B43A1A" w:rsidRPr="00184D49" w:rsidRDefault="00B43A1A" w:rsidP="00B43A1A">
            <w:pPr>
              <w:keepNext/>
              <w:tabs>
                <w:tab w:val="left" w:pos="14743"/>
              </w:tabs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val="ru-RU"/>
              </w:rPr>
            </w:pPr>
            <w:r w:rsidRPr="00184D4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  <w:p w14:paraId="4F580724" w14:textId="77777777" w:rsidR="00B43A1A" w:rsidRPr="00184D49" w:rsidRDefault="00B43A1A" w:rsidP="00B43A1A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</w:tbl>
    <w:p w14:paraId="2AD3D0F2" w14:textId="77777777" w:rsidR="00B43A1A" w:rsidRPr="00184D49" w:rsidRDefault="00B43A1A" w:rsidP="00B43A1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184D49">
        <w:rPr>
          <w:rFonts w:ascii="Times New Roman" w:eastAsia="Calibri" w:hAnsi="Times New Roman" w:cs="Times New Roman"/>
          <w:b/>
          <w:spacing w:val="80"/>
          <w:sz w:val="28"/>
          <w:szCs w:val="28"/>
        </w:rPr>
        <w:t>(</w:t>
      </w:r>
      <w:r w:rsidRPr="00184D49">
        <w:rPr>
          <w:rFonts w:ascii="Times New Roman" w:eastAsia="Calibri" w:hAnsi="Times New Roman" w:cs="Times New Roman"/>
          <w:b/>
          <w:spacing w:val="80"/>
          <w:sz w:val="24"/>
          <w:szCs w:val="24"/>
        </w:rPr>
        <w:t>ПОЗАЧЕРГОВЕ ЗАСІДАННЯ)</w:t>
      </w:r>
    </w:p>
    <w:p w14:paraId="1B03A6DD" w14:textId="77777777" w:rsidR="00B43A1A" w:rsidRPr="00184D49" w:rsidRDefault="00B43A1A" w:rsidP="00B43A1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184D49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62522AE" w14:textId="77777777" w:rsidR="00B43A1A" w:rsidRPr="00184D49" w:rsidRDefault="00B43A1A" w:rsidP="00B43A1A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4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4D49" w:rsidRPr="00184D49" w14:paraId="1711EB2E" w14:textId="77777777" w:rsidTr="00CB7E6B">
        <w:tc>
          <w:tcPr>
            <w:tcW w:w="3166" w:type="dxa"/>
            <w:hideMark/>
          </w:tcPr>
          <w:p w14:paraId="09B06879" w14:textId="77777777" w:rsidR="00B43A1A" w:rsidRPr="00184D49" w:rsidRDefault="00B43A1A" w:rsidP="00B43A1A">
            <w:pPr>
              <w:ind w:hanging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25.02</w:t>
            </w: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.202</w:t>
            </w: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14:paraId="4FA495CA" w14:textId="77777777" w:rsidR="00B43A1A" w:rsidRPr="00184D49" w:rsidRDefault="00B43A1A" w:rsidP="00B43A1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66" w:type="dxa"/>
            <w:hideMark/>
          </w:tcPr>
          <w:p w14:paraId="78134A2F" w14:textId="327DDB72" w:rsidR="00B43A1A" w:rsidRPr="00184D49" w:rsidRDefault="00B43A1A" w:rsidP="00B43A1A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                  </w:t>
            </w: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val="ru-RU"/>
              </w:rPr>
              <w:t xml:space="preserve"> </w:t>
            </w:r>
            <w:proofErr w:type="gramStart"/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val="ru-RU"/>
              </w:rPr>
              <w:t>№</w:t>
            </w:r>
            <w:r w:rsidRPr="00184D49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 xml:space="preserve">  </w:t>
            </w:r>
            <w:r w:rsidR="00F95C33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494</w:t>
            </w:r>
            <w:proofErr w:type="gramEnd"/>
          </w:p>
        </w:tc>
      </w:tr>
    </w:tbl>
    <w:p w14:paraId="2578122A" w14:textId="77777777" w:rsidR="00B43A1A" w:rsidRPr="00184D49" w:rsidRDefault="00B43A1A" w:rsidP="00B43A1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58FA33" w14:textId="117FD65A" w:rsidR="00B43A1A" w:rsidRPr="00184D49" w:rsidRDefault="00B43A1A" w:rsidP="00184D4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4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Про </w:t>
      </w:r>
      <w:r w:rsidR="00184D49" w:rsidRPr="0018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проведення громадських обговорень</w:t>
      </w:r>
    </w:p>
    <w:p w14:paraId="052BB233" w14:textId="77777777" w:rsidR="00184D49" w:rsidRPr="00184D49" w:rsidRDefault="00184D49" w:rsidP="00184D4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91974280"/>
      <w:r w:rsidRPr="0018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Pr="00184D49">
        <w:rPr>
          <w:rFonts w:ascii="Times New Roman" w:hAnsi="Times New Roman"/>
          <w:b/>
          <w:bCs/>
          <w:sz w:val="24"/>
          <w:szCs w:val="24"/>
        </w:rPr>
        <w:t xml:space="preserve">кращу проектну </w:t>
      </w:r>
      <w:bookmarkStart w:id="2" w:name="_Hlk178779146"/>
      <w:r w:rsidRPr="00184D49">
        <w:rPr>
          <w:rFonts w:ascii="Times New Roman" w:hAnsi="Times New Roman"/>
          <w:b/>
          <w:bCs/>
          <w:sz w:val="24"/>
          <w:szCs w:val="24"/>
        </w:rPr>
        <w:t xml:space="preserve">пропозицію меморіального </w:t>
      </w:r>
    </w:p>
    <w:p w14:paraId="785FF32A" w14:textId="77777777" w:rsidR="00184D49" w:rsidRPr="00184D49" w:rsidRDefault="00184D49" w:rsidP="00184D4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84D49">
        <w:rPr>
          <w:rFonts w:ascii="Times New Roman" w:hAnsi="Times New Roman"/>
          <w:b/>
          <w:bCs/>
          <w:sz w:val="24"/>
          <w:szCs w:val="24"/>
        </w:rPr>
        <w:t xml:space="preserve">комплексу в м. Буча, на території церкви Святого </w:t>
      </w:r>
    </w:p>
    <w:p w14:paraId="14008BA5" w14:textId="77777777" w:rsidR="00184D49" w:rsidRPr="00184D49" w:rsidRDefault="00184D49" w:rsidP="00184D4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84D49">
        <w:rPr>
          <w:rFonts w:ascii="Times New Roman" w:hAnsi="Times New Roman"/>
          <w:b/>
          <w:bCs/>
          <w:sz w:val="24"/>
          <w:szCs w:val="24"/>
        </w:rPr>
        <w:t xml:space="preserve">Апостола Андрія Первозваного та Всіх Святих в </w:t>
      </w:r>
    </w:p>
    <w:p w14:paraId="73F9F64E" w14:textId="77777777" w:rsidR="00184D49" w:rsidRPr="00184D49" w:rsidRDefault="00184D49" w:rsidP="00184D4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84D49">
        <w:rPr>
          <w:rFonts w:ascii="Times New Roman" w:hAnsi="Times New Roman"/>
          <w:b/>
          <w:bCs/>
          <w:sz w:val="24"/>
          <w:szCs w:val="24"/>
        </w:rPr>
        <w:t xml:space="preserve">місті Буча, де під час окупації </w:t>
      </w:r>
      <w:proofErr w:type="spellStart"/>
      <w:r w:rsidRPr="00184D49">
        <w:rPr>
          <w:rFonts w:ascii="Times New Roman" w:hAnsi="Times New Roman"/>
          <w:b/>
          <w:bCs/>
          <w:sz w:val="24"/>
          <w:szCs w:val="24"/>
        </w:rPr>
        <w:t>рф</w:t>
      </w:r>
      <w:proofErr w:type="spellEnd"/>
      <w:r w:rsidRPr="00184D49">
        <w:rPr>
          <w:rFonts w:ascii="Times New Roman" w:hAnsi="Times New Roman"/>
          <w:b/>
          <w:bCs/>
          <w:sz w:val="24"/>
          <w:szCs w:val="24"/>
        </w:rPr>
        <w:t xml:space="preserve"> було масове </w:t>
      </w:r>
    </w:p>
    <w:p w14:paraId="576B0579" w14:textId="77777777" w:rsidR="00184D49" w:rsidRPr="00184D49" w:rsidRDefault="00184D49" w:rsidP="00184D4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 w:rsidRPr="00184D49">
        <w:rPr>
          <w:rFonts w:ascii="Times New Roman" w:hAnsi="Times New Roman"/>
          <w:b/>
          <w:bCs/>
          <w:sz w:val="24"/>
          <w:szCs w:val="24"/>
        </w:rPr>
        <w:t>поховання невинно вбитих жителів міста</w:t>
      </w:r>
      <w:bookmarkEnd w:id="2"/>
      <w:r w:rsidRPr="00184D4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bookmarkEnd w:id="1"/>
    <w:p w14:paraId="4BE849B9" w14:textId="77777777" w:rsidR="00B43A1A" w:rsidRPr="00184D49" w:rsidRDefault="00B43A1A" w:rsidP="00B43A1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</w:p>
    <w:p w14:paraId="5B8B534D" w14:textId="735762BA" w:rsidR="00184D49" w:rsidRPr="00184D49" w:rsidRDefault="00B43A1A" w:rsidP="00184D49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84D49">
        <w:rPr>
          <w:rFonts w:ascii="Antiqua" w:eastAsia="Times New Roman" w:hAnsi="Antiqua" w:cs="Times New Roman"/>
          <w:sz w:val="28"/>
          <w:szCs w:val="20"/>
          <w:lang w:val="hr-HR" w:eastAsia="ru-RU"/>
        </w:rPr>
        <w:tab/>
      </w:r>
      <w:r w:rsidR="00184D49" w:rsidRPr="00184D49">
        <w:rPr>
          <w:rFonts w:eastAsia="Times New Roman" w:cs="Times New Roman"/>
          <w:sz w:val="28"/>
          <w:szCs w:val="20"/>
          <w:lang w:eastAsia="ru-RU"/>
        </w:rPr>
        <w:t xml:space="preserve">          </w:t>
      </w:r>
      <w:r w:rsidR="00184D49" w:rsidRPr="00184D49">
        <w:rPr>
          <w:rFonts w:ascii="Times New Roman" w:hAnsi="Times New Roman"/>
          <w:sz w:val="24"/>
          <w:szCs w:val="24"/>
        </w:rPr>
        <w:t>З метою вшанування пам’яті жертв російської агресії на  території  Бучанської  міської</w:t>
      </w:r>
    </w:p>
    <w:p w14:paraId="7C15C4A2" w14:textId="10F6B466" w:rsidR="00184D49" w:rsidRPr="00184D49" w:rsidRDefault="00184D49" w:rsidP="00184D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D49">
        <w:rPr>
          <w:rFonts w:ascii="Times New Roman" w:hAnsi="Times New Roman"/>
          <w:sz w:val="24"/>
          <w:szCs w:val="24"/>
        </w:rPr>
        <w:t>територіальної громади та пошуку найкращої проектної пропозиції </w:t>
      </w:r>
      <w:bookmarkStart w:id="3" w:name="RichViewCheckpoint0"/>
      <w:bookmarkEnd w:id="3"/>
      <w:r w:rsidRPr="00184D49">
        <w:rPr>
          <w:rFonts w:ascii="Times New Roman" w:hAnsi="Times New Roman"/>
          <w:sz w:val="24"/>
          <w:szCs w:val="24"/>
        </w:rPr>
        <w:t xml:space="preserve">меморіального комплексу в м. Буча, на території церкви Святого Апостола Андрія Первозваного та Всіх Святих в місті Буча, де під час окупації </w:t>
      </w:r>
      <w:proofErr w:type="spellStart"/>
      <w:r w:rsidRPr="00184D49">
        <w:rPr>
          <w:rFonts w:ascii="Times New Roman" w:hAnsi="Times New Roman"/>
          <w:sz w:val="24"/>
          <w:szCs w:val="24"/>
        </w:rPr>
        <w:t>рф</w:t>
      </w:r>
      <w:proofErr w:type="spellEnd"/>
      <w:r w:rsidRPr="00184D49">
        <w:rPr>
          <w:rFonts w:ascii="Times New Roman" w:hAnsi="Times New Roman"/>
          <w:sz w:val="24"/>
          <w:szCs w:val="24"/>
        </w:rPr>
        <w:t xml:space="preserve"> було масове поховання  невинно вбитих жителів міста, враховуючи пропозиції подані авторами </w:t>
      </w:r>
      <w:proofErr w:type="spellStart"/>
      <w:r w:rsidRPr="00184D49">
        <w:rPr>
          <w:rFonts w:ascii="Times New Roman" w:hAnsi="Times New Roman"/>
          <w:sz w:val="24"/>
          <w:szCs w:val="24"/>
        </w:rPr>
        <w:t>проєктів</w:t>
      </w:r>
      <w:proofErr w:type="spellEnd"/>
      <w:r w:rsidRPr="00184D49">
        <w:rPr>
          <w:rFonts w:ascii="Times New Roman" w:hAnsi="Times New Roman"/>
          <w:sz w:val="24"/>
          <w:szCs w:val="24"/>
        </w:rPr>
        <w:t xml:space="preserve"> на архітектурний конкурс</w:t>
      </w:r>
      <w:r>
        <w:rPr>
          <w:rFonts w:ascii="Times New Roman" w:hAnsi="Times New Roman"/>
          <w:sz w:val="24"/>
          <w:szCs w:val="24"/>
        </w:rPr>
        <w:t xml:space="preserve"> та рішення виконавчого комітету Бучанської міської ради від </w:t>
      </w:r>
      <w:r w:rsidRPr="00184D49">
        <w:rPr>
          <w:rFonts w:ascii="Times New Roman" w:hAnsi="Times New Roman"/>
          <w:sz w:val="24"/>
          <w:szCs w:val="24"/>
        </w:rPr>
        <w:t>09.08.2024</w:t>
      </w:r>
      <w:r w:rsidRPr="00184D49">
        <w:rPr>
          <w:rFonts w:ascii="Times New Roman" w:hAnsi="Times New Roman"/>
          <w:sz w:val="24"/>
          <w:szCs w:val="24"/>
        </w:rPr>
        <w:tab/>
        <w:t>№  4550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184D49">
        <w:rPr>
          <w:rFonts w:ascii="Times New Roman" w:hAnsi="Times New Roman"/>
          <w:sz w:val="24"/>
          <w:szCs w:val="24"/>
        </w:rPr>
        <w:t>Про організацію і проведення архітектурного конкурсу, затвердження його умов та складу журі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D49">
        <w:rPr>
          <w:rFonts w:ascii="Times New Roman" w:hAnsi="Times New Roman"/>
          <w:sz w:val="24"/>
          <w:szCs w:val="24"/>
        </w:rPr>
        <w:t>на кращу проектну пропозицію меморіального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4D49">
        <w:rPr>
          <w:rFonts w:ascii="Times New Roman" w:hAnsi="Times New Roman"/>
          <w:sz w:val="24"/>
          <w:szCs w:val="24"/>
        </w:rPr>
        <w:t xml:space="preserve">комплексу в м. Буча, на території церкви Святого Апостола Андрія Первозваного та Всіх Святих в місті Буча, де під час окупації </w:t>
      </w:r>
      <w:proofErr w:type="spellStart"/>
      <w:r w:rsidRPr="00184D49">
        <w:rPr>
          <w:rFonts w:ascii="Times New Roman" w:hAnsi="Times New Roman"/>
          <w:sz w:val="24"/>
          <w:szCs w:val="24"/>
        </w:rPr>
        <w:t>рф</w:t>
      </w:r>
      <w:proofErr w:type="spellEnd"/>
      <w:r w:rsidRPr="00184D49">
        <w:rPr>
          <w:rFonts w:ascii="Times New Roman" w:hAnsi="Times New Roman"/>
          <w:sz w:val="24"/>
          <w:szCs w:val="24"/>
        </w:rPr>
        <w:t xml:space="preserve"> було масове </w:t>
      </w:r>
    </w:p>
    <w:p w14:paraId="0B07A6FD" w14:textId="5DBDE265" w:rsidR="00184D49" w:rsidRPr="00184D49" w:rsidRDefault="00184D49" w:rsidP="00184D4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D49">
        <w:rPr>
          <w:rFonts w:ascii="Times New Roman" w:hAnsi="Times New Roman"/>
          <w:sz w:val="24"/>
          <w:szCs w:val="24"/>
        </w:rPr>
        <w:t>поховання невинно вбитих жителів міста</w:t>
      </w:r>
      <w:r>
        <w:rPr>
          <w:rFonts w:ascii="Times New Roman" w:hAnsi="Times New Roman"/>
          <w:sz w:val="24"/>
          <w:szCs w:val="24"/>
        </w:rPr>
        <w:t>»,</w:t>
      </w:r>
      <w:r w:rsidRPr="00184D49">
        <w:rPr>
          <w:rFonts w:ascii="Times New Roman" w:hAnsi="Times New Roman"/>
          <w:sz w:val="24"/>
          <w:szCs w:val="24"/>
        </w:rPr>
        <w:t xml:space="preserve">  відповідно до 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25.11.99р. №2137, керуючись Законом України «Про місцеве самоврядування в Україні», виконавчий комітет Бучанської міської ради</w:t>
      </w:r>
    </w:p>
    <w:p w14:paraId="0E7F638A" w14:textId="3F9DEE9C" w:rsidR="00B43A1A" w:rsidRPr="00184D49" w:rsidRDefault="00B43A1A" w:rsidP="00184D49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A70A9" w14:textId="77777777" w:rsidR="00B43A1A" w:rsidRPr="00184D49" w:rsidRDefault="00B43A1A" w:rsidP="00B43A1A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14:paraId="3960E0D5" w14:textId="77777777" w:rsidR="00B43A1A" w:rsidRPr="00184D49" w:rsidRDefault="00B43A1A" w:rsidP="00B43A1A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594ED5" w14:textId="33CB6EAE" w:rsidR="00080F6F" w:rsidRDefault="00184D49" w:rsidP="00080F6F">
      <w:pPr>
        <w:pStyle w:val="a3"/>
        <w:shd w:val="clear" w:color="auto" w:fill="FFFFFF"/>
        <w:spacing w:before="0" w:beforeAutospacing="0" w:line="240" w:lineRule="atLeast"/>
        <w:ind w:firstLine="709"/>
        <w:contextualSpacing/>
        <w:jc w:val="both"/>
        <w:rPr>
          <w:bdr w:val="none" w:sz="0" w:space="0" w:color="auto" w:frame="1"/>
          <w:shd w:val="clear" w:color="auto" w:fill="FFFFFF"/>
        </w:rPr>
      </w:pPr>
      <w:r w:rsidRPr="00184D49">
        <w:rPr>
          <w:bdr w:val="none" w:sz="0" w:space="0" w:color="auto" w:frame="1"/>
          <w:shd w:val="clear" w:color="auto" w:fill="FFFFFF"/>
        </w:rPr>
        <w:t xml:space="preserve">1. Провести громадське обговорення на офіційному </w:t>
      </w:r>
      <w:proofErr w:type="spellStart"/>
      <w:r w:rsidRPr="00184D49">
        <w:rPr>
          <w:bdr w:val="none" w:sz="0" w:space="0" w:color="auto" w:frame="1"/>
          <w:shd w:val="clear" w:color="auto" w:fill="FFFFFF"/>
        </w:rPr>
        <w:t>вебсайті</w:t>
      </w:r>
      <w:proofErr w:type="spellEnd"/>
      <w:r w:rsidRPr="00184D49">
        <w:rPr>
          <w:bdr w:val="none" w:sz="0" w:space="0" w:color="auto" w:frame="1"/>
          <w:shd w:val="clear" w:color="auto" w:fill="FFFFFF"/>
        </w:rPr>
        <w:t xml:space="preserve"> </w:t>
      </w:r>
      <w:r w:rsidR="00C75288">
        <w:rPr>
          <w:bdr w:val="none" w:sz="0" w:space="0" w:color="auto" w:frame="1"/>
          <w:shd w:val="clear" w:color="auto" w:fill="FFFFFF"/>
        </w:rPr>
        <w:t>Бучанської міської ради</w:t>
      </w:r>
      <w:r w:rsidR="00C75288" w:rsidRPr="00C75288">
        <w:t xml:space="preserve"> </w:t>
      </w:r>
      <w:r w:rsidR="00C75288" w:rsidRPr="00C75288">
        <w:rPr>
          <w:bdr w:val="none" w:sz="0" w:space="0" w:color="auto" w:frame="1"/>
          <w:shd w:val="clear" w:color="auto" w:fill="FFFFFF"/>
        </w:rPr>
        <w:t>на кращу проектну пропозицію меморіального</w:t>
      </w:r>
      <w:r w:rsidR="00C75288">
        <w:rPr>
          <w:bdr w:val="none" w:sz="0" w:space="0" w:color="auto" w:frame="1"/>
          <w:shd w:val="clear" w:color="auto" w:fill="FFFFFF"/>
        </w:rPr>
        <w:t xml:space="preserve"> </w:t>
      </w:r>
      <w:r w:rsidR="00C75288" w:rsidRPr="00C75288">
        <w:rPr>
          <w:bdr w:val="none" w:sz="0" w:space="0" w:color="auto" w:frame="1"/>
          <w:shd w:val="clear" w:color="auto" w:fill="FFFFFF"/>
        </w:rPr>
        <w:t xml:space="preserve">комплексу в м. Буча, на території церкви Святого Апостола Андрія Первозваного та Всіх Святих в місті Буча, де під час окупації </w:t>
      </w:r>
      <w:proofErr w:type="spellStart"/>
      <w:r w:rsidR="00C75288" w:rsidRPr="00C75288">
        <w:rPr>
          <w:bdr w:val="none" w:sz="0" w:space="0" w:color="auto" w:frame="1"/>
          <w:shd w:val="clear" w:color="auto" w:fill="FFFFFF"/>
        </w:rPr>
        <w:t>рф</w:t>
      </w:r>
      <w:proofErr w:type="spellEnd"/>
      <w:r w:rsidR="00C75288" w:rsidRPr="00C75288">
        <w:rPr>
          <w:bdr w:val="none" w:sz="0" w:space="0" w:color="auto" w:frame="1"/>
          <w:shd w:val="clear" w:color="auto" w:fill="FFFFFF"/>
        </w:rPr>
        <w:t xml:space="preserve"> було масове поховання невинно вбитих жителів міста</w:t>
      </w:r>
      <w:r w:rsidRPr="00184D49">
        <w:rPr>
          <w:bdr w:val="none" w:sz="0" w:space="0" w:color="auto" w:frame="1"/>
          <w:shd w:val="clear" w:color="auto" w:fill="FFFFFF"/>
        </w:rPr>
        <w:t>. Публічне громадське обговорення розпочинається з дня оприлюднення інформаційного повідомлення про його проведення. Строк проведення публічного громадського обговорення </w:t>
      </w:r>
      <w:r w:rsidR="002D7BF0">
        <w:rPr>
          <w:bdr w:val="none" w:sz="0" w:space="0" w:color="auto" w:frame="1"/>
          <w:shd w:val="clear" w:color="auto" w:fill="FFFFFF"/>
        </w:rPr>
        <w:t>30</w:t>
      </w:r>
      <w:r w:rsidRPr="00184D49">
        <w:rPr>
          <w:bdr w:val="none" w:sz="0" w:space="0" w:color="auto" w:frame="1"/>
          <w:shd w:val="clear" w:color="auto" w:fill="FFFFFF"/>
        </w:rPr>
        <w:t xml:space="preserve"> календарних днів.</w:t>
      </w:r>
    </w:p>
    <w:p w14:paraId="2BEC1C61" w14:textId="3FFBC03B" w:rsidR="00184D49" w:rsidRPr="00184D49" w:rsidRDefault="00184D49" w:rsidP="00080F6F">
      <w:pPr>
        <w:pStyle w:val="a3"/>
        <w:shd w:val="clear" w:color="auto" w:fill="FFFFFF"/>
        <w:spacing w:before="0" w:beforeAutospacing="0" w:line="240" w:lineRule="atLeas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84D49">
        <w:rPr>
          <w:bdr w:val="none" w:sz="0" w:space="0" w:color="auto" w:frame="1"/>
          <w:lang w:val="ru-RU"/>
        </w:rPr>
        <w:t>2</w:t>
      </w:r>
      <w:r w:rsidRPr="00184D49">
        <w:rPr>
          <w:bdr w:val="none" w:sz="0" w:space="0" w:color="auto" w:frame="1"/>
        </w:rPr>
        <w:t xml:space="preserve">. Визначити уповноваженим виконавчим органом з підготовки громадського обговорення відділ містобудування та архітектури </w:t>
      </w:r>
      <w:r w:rsidR="00080F6F">
        <w:rPr>
          <w:bdr w:val="none" w:sz="0" w:space="0" w:color="auto" w:frame="1"/>
        </w:rPr>
        <w:t>Бучанської міської ради.</w:t>
      </w:r>
      <w:r w:rsidRPr="00184D49">
        <w:rPr>
          <w:bdr w:val="none" w:sz="0" w:space="0" w:color="auto" w:frame="1"/>
        </w:rPr>
        <w:t xml:space="preserve"> </w:t>
      </w:r>
    </w:p>
    <w:p w14:paraId="1C098B1C" w14:textId="55A2C9A2" w:rsidR="00184D49" w:rsidRPr="00184D49" w:rsidRDefault="00184D49" w:rsidP="00080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84D49">
        <w:rPr>
          <w:bdr w:val="none" w:sz="0" w:space="0" w:color="auto" w:frame="1"/>
        </w:rPr>
        <w:t xml:space="preserve">3. </w:t>
      </w:r>
      <w:r w:rsidR="00080F6F">
        <w:rPr>
          <w:bdr w:val="none" w:sz="0" w:space="0" w:color="auto" w:frame="1"/>
        </w:rPr>
        <w:t xml:space="preserve">  </w:t>
      </w:r>
      <w:r w:rsidRPr="00184D49">
        <w:rPr>
          <w:bdr w:val="none" w:sz="0" w:space="0" w:color="auto" w:frame="1"/>
        </w:rPr>
        <w:t xml:space="preserve">Відповідальна особа за проведення громадського обговорення – </w:t>
      </w:r>
      <w:r w:rsidR="00080F6F">
        <w:rPr>
          <w:bdr w:val="none" w:sz="0" w:space="0" w:color="auto" w:frame="1"/>
        </w:rPr>
        <w:t>начальник відділу містобудування та архітектури Бучанської міської ради, Вадим НАУМОВ</w:t>
      </w:r>
      <w:r w:rsidRPr="00184D49">
        <w:rPr>
          <w:bdr w:val="none" w:sz="0" w:space="0" w:color="auto" w:frame="1"/>
        </w:rPr>
        <w:t>:</w:t>
      </w:r>
    </w:p>
    <w:p w14:paraId="352A6ACB" w14:textId="77777777" w:rsidR="00184D49" w:rsidRPr="00184D49" w:rsidRDefault="00184D49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184D49">
        <w:rPr>
          <w:bdr w:val="none" w:sz="0" w:space="0" w:color="auto" w:frame="1"/>
        </w:rPr>
        <w:t>3.1. Збирає пропозиції та протягом 14 днів після закінчення громадського обговорення виносить їх на розгляд комісії з питань найменування (перейменування) вулиць, інших об’єктів, встановлення пам’ятних знаків.</w:t>
      </w:r>
    </w:p>
    <w:p w14:paraId="5DD7B682" w14:textId="77777777" w:rsidR="00080F6F" w:rsidRDefault="00080F6F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</w:p>
    <w:p w14:paraId="7D55F744" w14:textId="77777777" w:rsidR="00080F6F" w:rsidRDefault="00080F6F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</w:p>
    <w:p w14:paraId="0AE9A860" w14:textId="1AE58588" w:rsidR="00080F6F" w:rsidRDefault="00080F6F" w:rsidP="00080F6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lastRenderedPageBreak/>
        <w:t>2</w:t>
      </w:r>
    </w:p>
    <w:p w14:paraId="65C03CB3" w14:textId="77777777" w:rsidR="00080F6F" w:rsidRDefault="00080F6F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dr w:val="none" w:sz="0" w:space="0" w:color="auto" w:frame="1"/>
        </w:rPr>
      </w:pPr>
    </w:p>
    <w:p w14:paraId="374FBB5F" w14:textId="40ED2C10" w:rsidR="00184D49" w:rsidRPr="00184D49" w:rsidRDefault="00184D49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184D49">
        <w:rPr>
          <w:bdr w:val="none" w:sz="0" w:space="0" w:color="auto" w:frame="1"/>
        </w:rPr>
        <w:t xml:space="preserve">3.2. Забезпечує оприлюднення пропозицій (зауважень), отриманих в ході проведення громадського обговорення на офіційному </w:t>
      </w:r>
      <w:proofErr w:type="spellStart"/>
      <w:r w:rsidRPr="00184D49">
        <w:rPr>
          <w:bdr w:val="none" w:sz="0" w:space="0" w:color="auto" w:frame="1"/>
        </w:rPr>
        <w:t>вебсайті</w:t>
      </w:r>
      <w:proofErr w:type="spellEnd"/>
      <w:r w:rsidRPr="00184D49">
        <w:rPr>
          <w:bdr w:val="none" w:sz="0" w:space="0" w:color="auto" w:frame="1"/>
        </w:rPr>
        <w:t xml:space="preserve"> </w:t>
      </w:r>
      <w:r w:rsidR="00080F6F">
        <w:rPr>
          <w:bdr w:val="none" w:sz="0" w:space="0" w:color="auto" w:frame="1"/>
        </w:rPr>
        <w:t>Бучанської міської</w:t>
      </w:r>
      <w:r w:rsidRPr="00184D49">
        <w:rPr>
          <w:bdr w:val="none" w:sz="0" w:space="0" w:color="auto" w:frame="1"/>
        </w:rPr>
        <w:t xml:space="preserve"> ради.</w:t>
      </w:r>
    </w:p>
    <w:p w14:paraId="08D40C3F" w14:textId="56031CE9" w:rsidR="00184D49" w:rsidRPr="00184D49" w:rsidRDefault="00184D49" w:rsidP="00080F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184D49">
        <w:rPr>
          <w:bdr w:val="none" w:sz="0" w:space="0" w:color="auto" w:frame="1"/>
        </w:rPr>
        <w:t xml:space="preserve">4. Контроль за виконанням рішення покласти на заступника </w:t>
      </w:r>
      <w:r w:rsidR="00080F6F">
        <w:rPr>
          <w:bdr w:val="none" w:sz="0" w:space="0" w:color="auto" w:frame="1"/>
        </w:rPr>
        <w:t>міського голови, Аліну САРАНЮК.</w:t>
      </w:r>
    </w:p>
    <w:p w14:paraId="4F2F67BC" w14:textId="77777777" w:rsidR="00B43A1A" w:rsidRPr="00184D49" w:rsidRDefault="00B43A1A" w:rsidP="00184D4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B7781" w14:textId="77777777" w:rsidR="00B43A1A" w:rsidRPr="00184D49" w:rsidRDefault="00B43A1A" w:rsidP="00B43A1A">
      <w:pPr>
        <w:overflowPunct w:val="0"/>
        <w:autoSpaceDE w:val="0"/>
        <w:autoSpaceDN w:val="0"/>
        <w:adjustRightInd w:val="0"/>
        <w:spacing w:after="0" w:line="256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1843A3" w14:textId="77777777" w:rsidR="00B43A1A" w:rsidRPr="00B43A1A" w:rsidRDefault="00B43A1A" w:rsidP="00B43A1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bookmarkEnd w:id="0"/>
    <w:p w14:paraId="7DE79D73" w14:textId="77777777" w:rsidR="00B43A1A" w:rsidRPr="00B43A1A" w:rsidRDefault="00B43A1A" w:rsidP="00B43A1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>Міський голова</w:t>
      </w: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    </w:t>
      </w: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43A1A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Анатолій ФЕДОРУК</w:t>
      </w:r>
    </w:p>
    <w:p w14:paraId="399051CB" w14:textId="77777777" w:rsidR="00B43A1A" w:rsidRPr="00B43A1A" w:rsidRDefault="00B43A1A" w:rsidP="00B43A1A">
      <w:pPr>
        <w:rPr>
          <w:rFonts w:ascii="Calibri" w:eastAsia="Calibri" w:hAnsi="Calibri" w:cs="Times New Roman"/>
          <w:lang w:val="ru-RU"/>
        </w:rPr>
      </w:pPr>
    </w:p>
    <w:p w14:paraId="2C7D788C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1418FFCC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64586484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7517DF10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26700F8E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1C3F4769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0AB39B72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07F8E26C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6035E41A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6007FCB4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3163E9C7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30E1D367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2E2C26F1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73A35ADC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55B8FCDB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p w14:paraId="2A2D89E3" w14:textId="77777777" w:rsidR="00B43A1A" w:rsidRDefault="00B43A1A" w:rsidP="00C258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D1D1B"/>
          <w:sz w:val="28"/>
          <w:szCs w:val="28"/>
          <w:bdr w:val="none" w:sz="0" w:space="0" w:color="auto" w:frame="1"/>
        </w:rPr>
      </w:pPr>
    </w:p>
    <w:sectPr w:rsidR="00B43A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D6C11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num w:numId="1" w16cid:durableId="1724408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05"/>
    <w:rsid w:val="00080F6F"/>
    <w:rsid w:val="00184D49"/>
    <w:rsid w:val="001C3805"/>
    <w:rsid w:val="002D7BF0"/>
    <w:rsid w:val="0052675C"/>
    <w:rsid w:val="007200CB"/>
    <w:rsid w:val="00981BA0"/>
    <w:rsid w:val="00A826F5"/>
    <w:rsid w:val="00B43A1A"/>
    <w:rsid w:val="00C17446"/>
    <w:rsid w:val="00C258C8"/>
    <w:rsid w:val="00C75288"/>
    <w:rsid w:val="00F07252"/>
    <w:rsid w:val="00F9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2EA837"/>
  <w15:chartTrackingRefBased/>
  <w15:docId w15:val="{295D7597-6F12-49CB-9DE9-66BD3822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B43A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8</cp:revision>
  <cp:lastPrinted>2025-03-06T12:23:00Z</cp:lastPrinted>
  <dcterms:created xsi:type="dcterms:W3CDTF">2025-03-04T06:57:00Z</dcterms:created>
  <dcterms:modified xsi:type="dcterms:W3CDTF">2025-03-06T12:25:00Z</dcterms:modified>
</cp:coreProperties>
</file>