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25AC" w:rsidRDefault="009825AC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9825A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603B9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B711E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777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 w:rsidR="0017089B">
        <w:t>***</w:t>
      </w:r>
      <w:r w:rsidR="00EB3EE0">
        <w:t xml:space="preserve"> від 28.02.2025 за вх. № Р-1064/12.1-07 щодо передачі в спільну часткову </w:t>
      </w:r>
      <w:r w:rsidR="00EB3EE0" w:rsidRPr="00C75F28">
        <w:t>власність</w:t>
      </w:r>
      <w:r w:rsidR="00EB3EE0">
        <w:t xml:space="preserve"> квартири </w:t>
      </w:r>
      <w:r w:rsidR="0017089B">
        <w:t>***</w:t>
      </w:r>
      <w:r w:rsidR="009825AC">
        <w:t xml:space="preserve"> </w:t>
      </w:r>
      <w:r w:rsidR="00F603B9">
        <w:t xml:space="preserve">в </w:t>
      </w:r>
      <w:r>
        <w:t>м. Буча</w:t>
      </w:r>
      <w:r w:rsidR="007C7BFE">
        <w:t>,</w:t>
      </w:r>
      <w:r>
        <w:t xml:space="preserve"> Київської обл. </w:t>
      </w:r>
      <w:r w:rsidR="005F3997" w:rsidRPr="00AF308F">
        <w:t xml:space="preserve">Згідно </w:t>
      </w:r>
      <w:r w:rsidR="005A02B1">
        <w:t>наданої копії паспорту</w:t>
      </w:r>
      <w:r w:rsidR="0017089B">
        <w:t xml:space="preserve"> ***</w:t>
      </w:r>
      <w:r w:rsidR="005A02B1">
        <w:t xml:space="preserve"> була зареєстрована </w:t>
      </w:r>
      <w:r w:rsidR="00E23264">
        <w:t xml:space="preserve">на законних підставах </w:t>
      </w:r>
      <w:r w:rsidR="005A02B1">
        <w:t>в вищезазначеній квартирі 30.12.1987 року</w:t>
      </w:r>
      <w:r w:rsidR="00E23264">
        <w:t>,</w:t>
      </w:r>
      <w:r w:rsidR="005A02B1">
        <w:t xml:space="preserve"> </w:t>
      </w:r>
      <w:r w:rsidR="00E23264">
        <w:t>оскільки</w:t>
      </w:r>
      <w:r w:rsidR="005A02B1">
        <w:t xml:space="preserve">, </w:t>
      </w:r>
      <w:r w:rsidR="00E23264">
        <w:t xml:space="preserve">постійно проживала разом із своїми батьками, що були вселені </w:t>
      </w:r>
      <w:r w:rsidR="00B711ED">
        <w:t xml:space="preserve">на підставі </w:t>
      </w:r>
      <w:r w:rsidR="00E23264">
        <w:t>рішення виконавчого комітету Ірпінської міської ради від 20.07.1967 року</w:t>
      </w:r>
      <w:r w:rsidR="00AD26B7">
        <w:t>.</w:t>
      </w:r>
      <w:r w:rsidR="00E23264">
        <w:t xml:space="preserve"> </w:t>
      </w:r>
      <w:r w:rsidR="00E23264" w:rsidRPr="00E23264">
        <w:t xml:space="preserve">Усі члени сім’ї, </w:t>
      </w:r>
      <w:r w:rsidR="00E23264">
        <w:t>що були вселені вище</w:t>
      </w:r>
      <w:r w:rsidR="00AD2AE6">
        <w:t>зазн</w:t>
      </w:r>
      <w:r w:rsidR="004A0B13">
        <w:t>а</w:t>
      </w:r>
      <w:r w:rsidR="00AD2AE6">
        <w:t>ченим рішенням</w:t>
      </w:r>
      <w:r w:rsidR="00E23264" w:rsidRPr="00E23264">
        <w:t>, померли, що підтверджується відповідними свідоцтвами про смерть.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796111">
        <w:t xml:space="preserve">рішення Ірпінського міського суду по справі № 367/2874/23, факт тривалого проживання </w:t>
      </w:r>
      <w:r w:rsidR="0017089B">
        <w:t>***</w:t>
      </w:r>
      <w:r w:rsidR="00E4160B">
        <w:t xml:space="preserve"> за адресою: Київська обл., м. Буча, </w:t>
      </w:r>
      <w:r w:rsidR="0017089B">
        <w:t>***</w:t>
      </w:r>
      <w:r w:rsidR="00796111">
        <w:t xml:space="preserve">, </w:t>
      </w:r>
      <w:r w:rsidR="00A319DB">
        <w:t>копі</w:t>
      </w:r>
      <w:r w:rsidR="00796111">
        <w:t>ї</w:t>
      </w:r>
      <w:r w:rsidR="00A319DB">
        <w:t xml:space="preserve"> довід</w:t>
      </w:r>
      <w:r w:rsidR="00796111">
        <w:t>о</w:t>
      </w:r>
      <w:r w:rsidR="004415CA">
        <w:t>к</w:t>
      </w:r>
      <w:r w:rsidR="00796111">
        <w:t xml:space="preserve"> </w:t>
      </w:r>
      <w:r w:rsidR="00A319DB" w:rsidRPr="00881498">
        <w:t>Т</w:t>
      </w:r>
      <w:r w:rsidR="00E4160B">
        <w:t>ВБВ</w:t>
      </w:r>
      <w:r w:rsidR="00796111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E4160B">
        <w:t xml:space="preserve">АТ «Ощадбанк»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17089B">
        <w:t>***</w:t>
      </w:r>
      <w:r w:rsidR="00796111">
        <w:t xml:space="preserve">, </w:t>
      </w:r>
      <w:r w:rsidR="0017089B">
        <w:t>***</w:t>
      </w:r>
      <w:r w:rsidR="00796111">
        <w:t>,</w:t>
      </w:r>
      <w:r w:rsidR="00C26645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E135DA">
        <w:t xml:space="preserve">спільну часткову </w:t>
      </w:r>
      <w:r>
        <w:t xml:space="preserve">власність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17089B">
        <w:t>***</w:t>
      </w:r>
      <w:r w:rsidR="009825AC">
        <w:t xml:space="preserve"> </w:t>
      </w:r>
      <w:r w:rsidR="001F4CD2">
        <w:t>в</w:t>
      </w:r>
      <w:r w:rsidR="00F603B9">
        <w:t xml:space="preserve"> </w:t>
      </w:r>
      <w:r w:rsidR="001F4CD2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17089B">
        <w:rPr>
          <w:b/>
        </w:rPr>
        <w:t>***</w:t>
      </w:r>
      <w:r w:rsidR="00E135DA">
        <w:rPr>
          <w:b/>
        </w:rPr>
        <w:t xml:space="preserve">, </w:t>
      </w:r>
      <w:r w:rsidR="0017089B">
        <w:rPr>
          <w:b/>
        </w:rPr>
        <w:t>***</w:t>
      </w:r>
      <w:r w:rsidR="00E135D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154A1B">
        <w:t>5</w:t>
      </w:r>
      <w:r w:rsidR="00E135DA">
        <w:t xml:space="preserve">5,0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E135DA">
        <w:t>52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E135DA">
        <w:t>40,5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154A1B">
        <w:t>9,</w:t>
      </w:r>
      <w:r w:rsidR="00E135DA">
        <w:t>9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825AC">
        <w:t xml:space="preserve"> квартиру</w:t>
      </w:r>
      <w:r w:rsidR="009C225C">
        <w:t xml:space="preserve"> </w:t>
      </w:r>
      <w:r w:rsidR="0017089B">
        <w:t>***</w:t>
      </w:r>
      <w:r w:rsidR="009825AC">
        <w:t xml:space="preserve">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154A1B">
        <w:t xml:space="preserve">на </w:t>
      </w:r>
      <w:r w:rsidR="007B403A">
        <w:t xml:space="preserve">квартиру </w:t>
      </w:r>
      <w:r w:rsidR="0017089B">
        <w:t>***</w:t>
      </w:r>
      <w:r w:rsidR="00F603B9">
        <w:t xml:space="preserve">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17089B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E135DA">
        <w:t>36,54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603B9" w:rsidRPr="00FF6ACB" w:rsidRDefault="00F5611F" w:rsidP="00F603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F603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5611F" w:rsidRPr="00FF6ACB" w:rsidRDefault="00F5611F" w:rsidP="00F5611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5611F" w:rsidRPr="00FF6ACB" w:rsidRDefault="00F5611F" w:rsidP="00F5611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5611F" w:rsidRPr="00FF6ACB" w:rsidRDefault="00F5611F" w:rsidP="00F5611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4343" w:rsidRDefault="00354343" w:rsidP="00E57298">
      <w:r>
        <w:separator/>
      </w:r>
    </w:p>
  </w:endnote>
  <w:endnote w:type="continuationSeparator" w:id="0">
    <w:p w:rsidR="00354343" w:rsidRDefault="0035434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4343" w:rsidRDefault="00354343" w:rsidP="00E57298">
      <w:r>
        <w:separator/>
      </w:r>
    </w:p>
  </w:footnote>
  <w:footnote w:type="continuationSeparator" w:id="0">
    <w:p w:rsidR="00354343" w:rsidRDefault="0035434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77E99"/>
    <w:rsid w:val="0008076C"/>
    <w:rsid w:val="00083369"/>
    <w:rsid w:val="00096BD6"/>
    <w:rsid w:val="000A437F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439E"/>
    <w:rsid w:val="000F52E2"/>
    <w:rsid w:val="00100A80"/>
    <w:rsid w:val="00123413"/>
    <w:rsid w:val="00124F6D"/>
    <w:rsid w:val="001315CE"/>
    <w:rsid w:val="00135104"/>
    <w:rsid w:val="00135C7A"/>
    <w:rsid w:val="00137A66"/>
    <w:rsid w:val="0014358A"/>
    <w:rsid w:val="00154A1B"/>
    <w:rsid w:val="00155735"/>
    <w:rsid w:val="0017089B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B3"/>
    <w:rsid w:val="001E43DE"/>
    <w:rsid w:val="001F35CD"/>
    <w:rsid w:val="001F4CD2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31390"/>
    <w:rsid w:val="003420C4"/>
    <w:rsid w:val="003517BB"/>
    <w:rsid w:val="00353708"/>
    <w:rsid w:val="00354343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0AFD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0B13"/>
    <w:rsid w:val="004A6F39"/>
    <w:rsid w:val="004A7A6E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4875"/>
    <w:rsid w:val="0054585E"/>
    <w:rsid w:val="005534D9"/>
    <w:rsid w:val="00564447"/>
    <w:rsid w:val="0057227E"/>
    <w:rsid w:val="00573803"/>
    <w:rsid w:val="0057737D"/>
    <w:rsid w:val="005818A3"/>
    <w:rsid w:val="005A02B1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17C96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6111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4C7B"/>
    <w:rsid w:val="0095630A"/>
    <w:rsid w:val="0097419E"/>
    <w:rsid w:val="009825A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44A5"/>
    <w:rsid w:val="00A959EF"/>
    <w:rsid w:val="00A9611B"/>
    <w:rsid w:val="00AA431F"/>
    <w:rsid w:val="00AA715A"/>
    <w:rsid w:val="00AB391E"/>
    <w:rsid w:val="00AB3E36"/>
    <w:rsid w:val="00AB5810"/>
    <w:rsid w:val="00AC117A"/>
    <w:rsid w:val="00AC3CE7"/>
    <w:rsid w:val="00AC45B4"/>
    <w:rsid w:val="00AC7739"/>
    <w:rsid w:val="00AD0003"/>
    <w:rsid w:val="00AD26B7"/>
    <w:rsid w:val="00AD2AE6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11ED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73BE"/>
    <w:rsid w:val="00C26645"/>
    <w:rsid w:val="00C267F9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504E"/>
    <w:rsid w:val="00DD2FB6"/>
    <w:rsid w:val="00DD528B"/>
    <w:rsid w:val="00DD7FB0"/>
    <w:rsid w:val="00DE2143"/>
    <w:rsid w:val="00DE4854"/>
    <w:rsid w:val="00DE4968"/>
    <w:rsid w:val="00E027B2"/>
    <w:rsid w:val="00E0460C"/>
    <w:rsid w:val="00E135DA"/>
    <w:rsid w:val="00E16002"/>
    <w:rsid w:val="00E21756"/>
    <w:rsid w:val="00E218A2"/>
    <w:rsid w:val="00E23264"/>
    <w:rsid w:val="00E26C54"/>
    <w:rsid w:val="00E27DCE"/>
    <w:rsid w:val="00E318FD"/>
    <w:rsid w:val="00E334B7"/>
    <w:rsid w:val="00E35F2F"/>
    <w:rsid w:val="00E4160B"/>
    <w:rsid w:val="00E43459"/>
    <w:rsid w:val="00E50D44"/>
    <w:rsid w:val="00E53401"/>
    <w:rsid w:val="00E5526D"/>
    <w:rsid w:val="00E57298"/>
    <w:rsid w:val="00E57F75"/>
    <w:rsid w:val="00E60270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B3EE0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611F"/>
    <w:rsid w:val="00F573F8"/>
    <w:rsid w:val="00F603B9"/>
    <w:rsid w:val="00F86A43"/>
    <w:rsid w:val="00F95D7C"/>
    <w:rsid w:val="00FA352E"/>
    <w:rsid w:val="00FA41F8"/>
    <w:rsid w:val="00FA68FC"/>
    <w:rsid w:val="00FB40A5"/>
    <w:rsid w:val="00FB40DD"/>
    <w:rsid w:val="00FC096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624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129</cp:revision>
  <cp:lastPrinted>2025-05-05T07:51:00Z</cp:lastPrinted>
  <dcterms:created xsi:type="dcterms:W3CDTF">2024-07-01T08:07:00Z</dcterms:created>
  <dcterms:modified xsi:type="dcterms:W3CDTF">2025-06-24T11:22:00Z</dcterms:modified>
</cp:coreProperties>
</file>