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Pr="00156EAB" w:rsidRDefault="00727F64" w:rsidP="000D3A2F">
      <w:pPr>
        <w:jc w:val="center"/>
        <w:rPr>
          <w:b/>
          <w:lang w:val="uk-UA"/>
        </w:rPr>
      </w:pPr>
    </w:p>
    <w:p w:rsidR="00406747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>Обґрунтування</w:t>
      </w:r>
    </w:p>
    <w:p w:rsidR="000D3A2F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156EAB" w:rsidRDefault="000D3A2F" w:rsidP="000D3A2F">
      <w:pPr>
        <w:jc w:val="center"/>
        <w:rPr>
          <w:lang w:val="uk-UA"/>
        </w:rPr>
      </w:pPr>
      <w:r w:rsidRPr="00156EAB">
        <w:rPr>
          <w:lang w:val="uk-UA"/>
        </w:rPr>
        <w:t>(відповідно до пункту 4</w:t>
      </w:r>
      <w:r w:rsidRPr="00156EAB">
        <w:rPr>
          <w:vertAlign w:val="superscript"/>
          <w:lang w:val="uk-UA"/>
        </w:rPr>
        <w:t xml:space="preserve">1 </w:t>
      </w:r>
      <w:r w:rsidRPr="00156EAB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156EAB" w:rsidRDefault="000D3A2F" w:rsidP="000D3A2F">
      <w:pPr>
        <w:jc w:val="center"/>
        <w:rPr>
          <w:lang w:val="uk-UA"/>
        </w:rPr>
      </w:pPr>
    </w:p>
    <w:p w:rsidR="000B2585" w:rsidRPr="00156EAB" w:rsidRDefault="000D3A2F" w:rsidP="000B2585">
      <w:pPr>
        <w:rPr>
          <w:b/>
          <w:lang w:val="uk-UA"/>
        </w:rPr>
      </w:pPr>
      <w:r w:rsidRPr="00156EAB">
        <w:rPr>
          <w:b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156EAB" w:rsidRDefault="000B2585" w:rsidP="000B2585">
      <w:pPr>
        <w:rPr>
          <w:bCs/>
          <w:lang w:val="uk-UA"/>
        </w:rPr>
      </w:pPr>
      <w:bookmarkStart w:id="0" w:name="_Hlk190187173"/>
      <w:r w:rsidRPr="00156EAB">
        <w:rPr>
          <w:bCs/>
          <w:lang w:val="uk-UA"/>
        </w:rPr>
        <w:t>1.1. найменування замовника: Бучанська міська рада</w:t>
      </w:r>
    </w:p>
    <w:p w:rsidR="000B2585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1.2. місцезнаходження замовника: Україна, вул. Енергетиків,12, м. Буча, Київська область, 08292</w:t>
      </w:r>
    </w:p>
    <w:p w:rsidR="000B2585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1.3. ідентифікаційний код замовника : 04360586</w:t>
      </w:r>
    </w:p>
    <w:p w:rsidR="00242521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1.4. категорія: орган місцевого самоврядування</w:t>
      </w:r>
    </w:p>
    <w:bookmarkEnd w:id="0"/>
    <w:p w:rsidR="000D3A2F" w:rsidRPr="00156EAB" w:rsidRDefault="000D3A2F" w:rsidP="000D3A2F">
      <w:pPr>
        <w:rPr>
          <w:bCs/>
          <w:lang w:val="uk-UA"/>
        </w:rPr>
      </w:pPr>
    </w:p>
    <w:p w:rsidR="008C54D8" w:rsidRDefault="000D3A2F" w:rsidP="00915C6A">
      <w:pPr>
        <w:jc w:val="both"/>
        <w:rPr>
          <w:lang w:val="uk-UA"/>
        </w:rPr>
      </w:pPr>
      <w:r w:rsidRPr="00156EAB">
        <w:rPr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156EAB">
        <w:rPr>
          <w:lang w:val="uk-UA"/>
        </w:rPr>
        <w:t xml:space="preserve"> </w:t>
      </w:r>
      <w:r w:rsidR="007D1D7F" w:rsidRPr="007D1D7F">
        <w:rPr>
          <w:lang w:val="uk-UA"/>
        </w:rPr>
        <w:t>Засіб радіоелектронної боротьби код національного класифікатора України ДК 021:2015 «Єдиний закупівельний словник» 35730000-0 Електронні бойові комплекти та засоби радіоелектронного захисту</w:t>
      </w:r>
    </w:p>
    <w:p w:rsidR="007D1D7F" w:rsidRPr="00915C6A" w:rsidRDefault="007D1D7F" w:rsidP="00915C6A">
      <w:pPr>
        <w:jc w:val="both"/>
        <w:rPr>
          <w:lang w:val="uk-UA"/>
        </w:rPr>
      </w:pPr>
    </w:p>
    <w:p w:rsidR="000D3A2F" w:rsidRPr="00156EAB" w:rsidRDefault="000D3A2F" w:rsidP="00462FA3">
      <w:pPr>
        <w:jc w:val="both"/>
        <w:rPr>
          <w:bCs/>
          <w:lang w:val="uk-UA"/>
        </w:rPr>
      </w:pPr>
      <w:r w:rsidRPr="00957CA0">
        <w:rPr>
          <w:b/>
          <w:lang w:val="uk-UA"/>
        </w:rPr>
        <w:t xml:space="preserve">3. Ідентифікатор </w:t>
      </w:r>
      <w:r w:rsidR="00B620C5" w:rsidRPr="00957CA0">
        <w:rPr>
          <w:b/>
          <w:lang w:val="uk-UA"/>
        </w:rPr>
        <w:t>закупів</w:t>
      </w:r>
      <w:r w:rsidR="007156A3" w:rsidRPr="00957CA0">
        <w:rPr>
          <w:b/>
          <w:lang w:val="uk-UA"/>
        </w:rPr>
        <w:t xml:space="preserve">лі: </w:t>
      </w:r>
      <w:hyperlink r:id="rId5" w:tgtFrame="_blank" w:history="1">
        <w:r w:rsidR="00A33F9D" w:rsidRPr="00A33F9D">
          <w:rPr>
            <w:rFonts w:ascii="Segoe UI" w:hAnsi="Segoe UI" w:cs="Segoe UI"/>
            <w:color w:val="2B85E4"/>
            <w:sz w:val="21"/>
            <w:szCs w:val="21"/>
            <w:u w:val="single"/>
            <w:shd w:val="clear" w:color="auto" w:fill="FFFFFF"/>
          </w:rPr>
          <w:t>UA-2025-07-18-007728-a</w:t>
        </w:r>
      </w:hyperlink>
    </w:p>
    <w:p w:rsidR="000D3A2F" w:rsidRPr="00156EAB" w:rsidRDefault="000D3A2F" w:rsidP="00462FA3">
      <w:pPr>
        <w:jc w:val="both"/>
        <w:rPr>
          <w:b/>
          <w:lang w:val="uk-UA"/>
        </w:rPr>
      </w:pPr>
    </w:p>
    <w:p w:rsidR="00156EAB" w:rsidRPr="00156EAB" w:rsidRDefault="000D3A2F" w:rsidP="000553BD">
      <w:pPr>
        <w:pStyle w:val="a6"/>
        <w:shd w:val="clear" w:color="auto" w:fill="FFFFFF"/>
        <w:spacing w:before="0" w:beforeAutospacing="0" w:after="0" w:afterAutospacing="0"/>
        <w:jc w:val="both"/>
        <w:rPr>
          <w:lang w:eastAsia="uk-UA"/>
        </w:rPr>
      </w:pPr>
      <w:r w:rsidRPr="00156EAB">
        <w:rPr>
          <w:b/>
          <w:lang w:val="uk-UA"/>
        </w:rPr>
        <w:t>4. Обґрунтування технічних та якісних характеристик предмета закупівлі:</w:t>
      </w:r>
      <w:r w:rsidR="00554A1B" w:rsidRPr="00156EAB">
        <w:rPr>
          <w:bCs/>
          <w:lang w:val="uk-UA" w:eastAsia="uk-UA"/>
        </w:rPr>
        <w:t xml:space="preserve"> </w:t>
      </w:r>
      <w:r w:rsidR="000553BD" w:rsidRPr="000553BD">
        <w:rPr>
          <w:bCs/>
          <w:lang w:val="uk-UA" w:eastAsia="uk-UA"/>
        </w:rPr>
        <w:t xml:space="preserve">       технічні та якісні характеристики предмета закупівлі визначені відповідно до запитів військових частин на </w:t>
      </w:r>
      <w:r w:rsidR="000553BD" w:rsidRPr="008B0426">
        <w:rPr>
          <w:bCs/>
          <w:lang w:val="uk-UA" w:eastAsia="uk-UA"/>
        </w:rPr>
        <w:t xml:space="preserve">підставі </w:t>
      </w:r>
      <w:r w:rsidR="006F06FF" w:rsidRPr="008B0426">
        <w:rPr>
          <w:bCs/>
          <w:lang w:val="uk-UA" w:eastAsia="uk-UA"/>
        </w:rPr>
        <w:t>Заявки на проведення закупівлі від</w:t>
      </w:r>
      <w:r w:rsidR="000553BD" w:rsidRPr="008B0426">
        <w:rPr>
          <w:bCs/>
          <w:lang w:val="uk-UA" w:eastAsia="uk-UA"/>
        </w:rPr>
        <w:t xml:space="preserve"> начальника відділу муніципальної безпеки Бучанської міської ради</w:t>
      </w:r>
    </w:p>
    <w:p w:rsidR="00BC211A" w:rsidRPr="00156EAB" w:rsidRDefault="00BC211A" w:rsidP="00AD606C">
      <w:pPr>
        <w:jc w:val="both"/>
        <w:rPr>
          <w:b/>
          <w:lang w:val="uk-UA"/>
        </w:rPr>
      </w:pPr>
    </w:p>
    <w:p w:rsidR="000553BD" w:rsidRPr="00DC689B" w:rsidRDefault="000D3A2F" w:rsidP="007B51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val="uk-UA" w:eastAsia="en-US"/>
        </w:rPr>
      </w:pPr>
      <w:r w:rsidRPr="00156EAB">
        <w:rPr>
          <w:b/>
          <w:lang w:val="uk-UA"/>
        </w:rPr>
        <w:t>5. Розмір бюджетного призначення:</w:t>
      </w:r>
      <w:r w:rsidR="007D1D7F">
        <w:rPr>
          <w:b/>
          <w:lang w:val="uk-UA"/>
        </w:rPr>
        <w:t xml:space="preserve"> </w:t>
      </w:r>
      <w:r w:rsidR="00DC689B">
        <w:rPr>
          <w:lang w:val="uk-UA"/>
        </w:rPr>
        <w:t>1633750,00 грн (</w:t>
      </w:r>
      <w:r w:rsidR="00DC689B" w:rsidRPr="0052456C">
        <w:rPr>
          <w:lang w:val="uk-UA"/>
        </w:rPr>
        <w:t>один мільйон шістсот тридцять три тисячі сімсот п'ятдесят гривень 00 копійок</w:t>
      </w:r>
      <w:r w:rsidR="00DC689B">
        <w:rPr>
          <w:lang w:val="uk-UA"/>
        </w:rPr>
        <w:t>)</w:t>
      </w:r>
    </w:p>
    <w:p w:rsidR="003C55A0" w:rsidRPr="00156EAB" w:rsidRDefault="003C55A0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uk-UA"/>
        </w:rPr>
      </w:pPr>
    </w:p>
    <w:p w:rsidR="002443C7" w:rsidRPr="00156EAB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b/>
          <w:lang w:val="uk-UA"/>
        </w:rPr>
        <w:t>6. Обґрунтування розміру бюджетного призначення:</w:t>
      </w:r>
      <w:r w:rsidR="002443C7" w:rsidRPr="00156EAB">
        <w:rPr>
          <w:lang w:val="uk-UA"/>
        </w:rPr>
        <w:t xml:space="preserve"> </w:t>
      </w:r>
      <w:r w:rsidR="007C1342" w:rsidRPr="00156EAB">
        <w:rPr>
          <w:color w:val="000000" w:themeColor="text1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B620C5" w:rsidRPr="00156EAB">
        <w:rPr>
          <w:color w:val="000000" w:themeColor="text1"/>
          <w:lang w:val="uk-UA"/>
        </w:rPr>
        <w:t>6</w:t>
      </w:r>
      <w:r w:rsidR="007C1342" w:rsidRPr="00156EAB">
        <w:rPr>
          <w:color w:val="000000" w:themeColor="text1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156EAB" w:rsidRDefault="000D3A2F" w:rsidP="000D3A2F">
      <w:pPr>
        <w:rPr>
          <w:b/>
          <w:lang w:val="uk-UA"/>
        </w:rPr>
      </w:pPr>
    </w:p>
    <w:p w:rsidR="00D226A6" w:rsidRPr="00D226A6" w:rsidRDefault="000D3A2F" w:rsidP="00D226A6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b/>
          <w:lang w:val="uk-UA"/>
        </w:rPr>
        <w:t>7. Обґрунтування очікуваної вартості предмета закупівлі:</w:t>
      </w:r>
      <w:r w:rsidR="00F05B5E" w:rsidRPr="00156EAB">
        <w:rPr>
          <w:bCs/>
          <w:lang w:val="uk-UA"/>
        </w:rPr>
        <w:t xml:space="preserve"> </w:t>
      </w:r>
      <w:r w:rsidR="003C55A0" w:rsidRPr="003C55A0">
        <w:rPr>
          <w:bCs/>
          <w:lang w:val="uk-UA"/>
        </w:rPr>
        <w:t>Закупівля здійснюється на виконання запитів військових підрозділів та відповідно до  «Комплексної програми національного спротиву, мобілізаційної готовності та територіальної оборони Бучанської міської територіальної громади на 2024-2026 роки», затвердженої рішенням Бучанської міської ради від 05.03.2024 № 4221-56 VIII, для забезпечення потреб Сил безпеки та оборони.</w:t>
      </w:r>
      <w:r w:rsidR="00D226A6" w:rsidRPr="00D226A6">
        <w:rPr>
          <w:color w:val="000000" w:themeColor="text1"/>
          <w:lang w:val="uk-UA"/>
        </w:rPr>
        <w:t xml:space="preserve"> </w:t>
      </w:r>
      <w:r w:rsidR="00D226A6">
        <w:rPr>
          <w:color w:val="000000" w:themeColor="text1"/>
          <w:lang w:val="uk-UA"/>
        </w:rPr>
        <w:t>Очікувану вартість в</w:t>
      </w:r>
      <w:r w:rsidR="00D226A6" w:rsidRPr="00D226A6">
        <w:rPr>
          <w:color w:val="000000" w:themeColor="text1"/>
          <w:lang w:val="uk-UA"/>
        </w:rPr>
        <w:t xml:space="preserve">изначено відповідно до Методики визначення очікуваної вартості предмета закупівлі Бучанської міської ради, затвердженої розпорядженням Бучанського міського голови «Про організаційні питання здійснення публічних </w:t>
      </w:r>
      <w:proofErr w:type="spellStart"/>
      <w:r w:rsidR="00D226A6" w:rsidRPr="00D226A6">
        <w:rPr>
          <w:color w:val="000000" w:themeColor="text1"/>
          <w:lang w:val="uk-UA"/>
        </w:rPr>
        <w:t>закупівель</w:t>
      </w:r>
      <w:proofErr w:type="spellEnd"/>
      <w:r w:rsidR="00D226A6" w:rsidRPr="00D226A6">
        <w:rPr>
          <w:color w:val="000000" w:themeColor="text1"/>
          <w:lang w:val="uk-UA"/>
        </w:rPr>
        <w:t xml:space="preserve"> на території Бучанської міської територіальної громади» від 11.04.2024 № 52 (далі — Методика).</w:t>
      </w:r>
    </w:p>
    <w:p w:rsidR="00D226A6" w:rsidRPr="00D226A6" w:rsidRDefault="00D226A6" w:rsidP="00D226A6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D226A6">
        <w:rPr>
          <w:color w:val="000000" w:themeColor="text1"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метода порівняння ринкових цін. </w:t>
      </w:r>
    </w:p>
    <w:p w:rsidR="00D226A6" w:rsidRPr="00D226A6" w:rsidRDefault="00D226A6" w:rsidP="00D226A6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D226A6">
        <w:rPr>
          <w:color w:val="000000" w:themeColor="text1"/>
          <w:lang w:val="uk-UA"/>
        </w:rPr>
        <w:t>Відповідно до Методики:</w:t>
      </w:r>
    </w:p>
    <w:p w:rsidR="00D226A6" w:rsidRPr="00D226A6" w:rsidRDefault="00D226A6" w:rsidP="00D226A6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proofErr w:type="spellStart"/>
      <w:r w:rsidRPr="00D226A6">
        <w:rPr>
          <w:color w:val="000000" w:themeColor="text1"/>
          <w:lang w:val="uk-UA"/>
        </w:rPr>
        <w:t>Цод</w:t>
      </w:r>
      <w:proofErr w:type="spellEnd"/>
      <w:r w:rsidRPr="00D226A6">
        <w:rPr>
          <w:color w:val="000000" w:themeColor="text1"/>
          <w:lang w:val="uk-UA"/>
        </w:rPr>
        <w:t xml:space="preserve"> = (Ц1 + … + </w:t>
      </w:r>
      <w:proofErr w:type="spellStart"/>
      <w:r w:rsidRPr="00D226A6">
        <w:rPr>
          <w:color w:val="000000" w:themeColor="text1"/>
          <w:lang w:val="uk-UA"/>
        </w:rPr>
        <w:t>Цк</w:t>
      </w:r>
      <w:proofErr w:type="spellEnd"/>
      <w:r w:rsidRPr="00D226A6">
        <w:rPr>
          <w:color w:val="000000" w:themeColor="text1"/>
          <w:lang w:val="uk-UA"/>
        </w:rPr>
        <w:t>)/К</w:t>
      </w:r>
    </w:p>
    <w:p w:rsidR="00D226A6" w:rsidRPr="00D226A6" w:rsidRDefault="00D226A6" w:rsidP="00D226A6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D226A6">
        <w:rPr>
          <w:color w:val="000000" w:themeColor="text1"/>
          <w:lang w:val="uk-UA"/>
        </w:rPr>
        <w:lastRenderedPageBreak/>
        <w:t xml:space="preserve">де: </w:t>
      </w:r>
    </w:p>
    <w:p w:rsidR="00D226A6" w:rsidRPr="00D226A6" w:rsidRDefault="00D226A6" w:rsidP="00D226A6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proofErr w:type="spellStart"/>
      <w:r w:rsidRPr="00D226A6">
        <w:rPr>
          <w:color w:val="000000" w:themeColor="text1"/>
          <w:lang w:val="uk-UA"/>
        </w:rPr>
        <w:t>Цод</w:t>
      </w:r>
      <w:proofErr w:type="spellEnd"/>
      <w:r w:rsidRPr="00D226A6">
        <w:rPr>
          <w:color w:val="000000" w:themeColor="text1"/>
          <w:lang w:val="uk-UA"/>
        </w:rPr>
        <w:t xml:space="preserve"> – очікувана ціна за одиницю товару (послуги);</w:t>
      </w:r>
    </w:p>
    <w:p w:rsidR="00D226A6" w:rsidRPr="00D226A6" w:rsidRDefault="00D226A6" w:rsidP="00D226A6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D226A6">
        <w:rPr>
          <w:color w:val="000000" w:themeColor="text1"/>
          <w:lang w:val="uk-UA"/>
        </w:rPr>
        <w:t xml:space="preserve">Ц1, </w:t>
      </w:r>
      <w:proofErr w:type="spellStart"/>
      <w:r w:rsidRPr="00D226A6">
        <w:rPr>
          <w:color w:val="000000" w:themeColor="text1"/>
          <w:lang w:val="uk-UA"/>
        </w:rPr>
        <w:t>Цк</w:t>
      </w:r>
      <w:proofErr w:type="spellEnd"/>
      <w:r w:rsidRPr="00D226A6">
        <w:rPr>
          <w:color w:val="000000" w:themeColor="text1"/>
          <w:lang w:val="uk-UA"/>
        </w:rPr>
        <w:t xml:space="preserve"> – ціни отримані з відкритих джерел інформації, приведені до єдиних умов інформації; </w:t>
      </w:r>
    </w:p>
    <w:p w:rsidR="00D226A6" w:rsidRPr="00D226A6" w:rsidRDefault="00D226A6" w:rsidP="00D226A6">
      <w:pPr>
        <w:shd w:val="clear" w:color="auto" w:fill="FFFFFF"/>
        <w:tabs>
          <w:tab w:val="left" w:pos="709"/>
        </w:tabs>
        <w:jc w:val="both"/>
        <w:rPr>
          <w:color w:val="000000" w:themeColor="text1"/>
        </w:rPr>
      </w:pPr>
      <w:r w:rsidRPr="00D226A6">
        <w:rPr>
          <w:color w:val="000000" w:themeColor="text1"/>
          <w:lang w:val="uk-UA"/>
        </w:rPr>
        <w:t xml:space="preserve">К – кількість цін, отриманих з відкритих джерел інформації. </w:t>
      </w:r>
    </w:p>
    <w:p w:rsidR="009E60D0" w:rsidRPr="00386085" w:rsidRDefault="003C55A0" w:rsidP="00386085">
      <w:pPr>
        <w:shd w:val="clear" w:color="auto" w:fill="FFFFFF"/>
        <w:tabs>
          <w:tab w:val="left" w:pos="709"/>
        </w:tabs>
        <w:jc w:val="both"/>
        <w:rPr>
          <w:color w:val="000000" w:themeColor="text1"/>
        </w:rPr>
      </w:pPr>
      <w:r w:rsidRPr="003C55A0">
        <w:rPr>
          <w:bCs/>
          <w:lang w:val="uk-UA"/>
        </w:rPr>
        <w:t xml:space="preserve">Ініціатором було проведено попередні ринкові консультації щодо закупівлі у вигляді збору комерційних пропозицій. </w:t>
      </w:r>
    </w:p>
    <w:p w:rsidR="000D3A2F" w:rsidRDefault="000D3A2F" w:rsidP="000D3A2F">
      <w:pPr>
        <w:rPr>
          <w:b/>
          <w:lang w:val="uk-UA"/>
        </w:rPr>
      </w:pPr>
    </w:p>
    <w:p w:rsidR="00CA7FDD" w:rsidRDefault="00CA7FDD" w:rsidP="000D3A2F">
      <w:pPr>
        <w:rPr>
          <w:b/>
          <w:lang w:val="uk-UA"/>
        </w:rPr>
      </w:pPr>
    </w:p>
    <w:p w:rsidR="000F5AC2" w:rsidRDefault="000F5AC2" w:rsidP="000D3A2F">
      <w:pPr>
        <w:rPr>
          <w:b/>
          <w:lang w:val="uk-UA"/>
        </w:rPr>
      </w:pPr>
    </w:p>
    <w:p w:rsidR="000F5AC2" w:rsidRPr="00156EAB" w:rsidRDefault="000F5AC2" w:rsidP="000D3A2F">
      <w:pPr>
        <w:rPr>
          <w:b/>
          <w:lang w:val="uk-UA"/>
        </w:rPr>
      </w:pPr>
    </w:p>
    <w:p w:rsidR="00106A91" w:rsidRDefault="009C3405" w:rsidP="00076696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</w:pP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>Уповноважена особа</w:t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 xml:space="preserve">                          Вікторія ГЕРГЕЛ</w:t>
      </w:r>
      <w:r w:rsidR="00076696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>Ь</w:t>
      </w:r>
    </w:p>
    <w:p w:rsidR="00386085" w:rsidRDefault="00386085" w:rsidP="00076696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</w:pPr>
    </w:p>
    <w:sectPr w:rsidR="0038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C30B9"/>
    <w:multiLevelType w:val="hybridMultilevel"/>
    <w:tmpl w:val="8AF42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04FB8"/>
    <w:rsid w:val="00025BEA"/>
    <w:rsid w:val="000553BD"/>
    <w:rsid w:val="00076696"/>
    <w:rsid w:val="00090F14"/>
    <w:rsid w:val="000B2585"/>
    <w:rsid w:val="000C619B"/>
    <w:rsid w:val="000D3A2F"/>
    <w:rsid w:val="000F5AC2"/>
    <w:rsid w:val="00106A91"/>
    <w:rsid w:val="00126C8B"/>
    <w:rsid w:val="00156EAB"/>
    <w:rsid w:val="002124A2"/>
    <w:rsid w:val="00242521"/>
    <w:rsid w:val="002443C7"/>
    <w:rsid w:val="00247960"/>
    <w:rsid w:val="0028100F"/>
    <w:rsid w:val="00291BAF"/>
    <w:rsid w:val="002938F8"/>
    <w:rsid w:val="002E70AE"/>
    <w:rsid w:val="002F7FE5"/>
    <w:rsid w:val="00330CC0"/>
    <w:rsid w:val="00385B3C"/>
    <w:rsid w:val="00386085"/>
    <w:rsid w:val="003C55A0"/>
    <w:rsid w:val="003E448B"/>
    <w:rsid w:val="00406747"/>
    <w:rsid w:val="00410776"/>
    <w:rsid w:val="00423809"/>
    <w:rsid w:val="00434095"/>
    <w:rsid w:val="00462682"/>
    <w:rsid w:val="00462FA3"/>
    <w:rsid w:val="004E2DFC"/>
    <w:rsid w:val="0054264B"/>
    <w:rsid w:val="00554A1B"/>
    <w:rsid w:val="00580D77"/>
    <w:rsid w:val="005B37D0"/>
    <w:rsid w:val="00670CA0"/>
    <w:rsid w:val="00681562"/>
    <w:rsid w:val="006D5FA2"/>
    <w:rsid w:val="006F06FF"/>
    <w:rsid w:val="0070349F"/>
    <w:rsid w:val="007147E6"/>
    <w:rsid w:val="007156A3"/>
    <w:rsid w:val="007214E9"/>
    <w:rsid w:val="00727F64"/>
    <w:rsid w:val="00742F59"/>
    <w:rsid w:val="007B514D"/>
    <w:rsid w:val="007C1342"/>
    <w:rsid w:val="007D1D7F"/>
    <w:rsid w:val="00807AA1"/>
    <w:rsid w:val="008A20C4"/>
    <w:rsid w:val="008B0426"/>
    <w:rsid w:val="008C54D8"/>
    <w:rsid w:val="00915C6A"/>
    <w:rsid w:val="00957CA0"/>
    <w:rsid w:val="00974F12"/>
    <w:rsid w:val="00993F35"/>
    <w:rsid w:val="009B3DCF"/>
    <w:rsid w:val="009C3405"/>
    <w:rsid w:val="009E60D0"/>
    <w:rsid w:val="009E6117"/>
    <w:rsid w:val="009F74A4"/>
    <w:rsid w:val="00A33F9D"/>
    <w:rsid w:val="00A64C20"/>
    <w:rsid w:val="00A66CAA"/>
    <w:rsid w:val="00AD606C"/>
    <w:rsid w:val="00B620C5"/>
    <w:rsid w:val="00B9048C"/>
    <w:rsid w:val="00BC211A"/>
    <w:rsid w:val="00BC6644"/>
    <w:rsid w:val="00BC7692"/>
    <w:rsid w:val="00BF4665"/>
    <w:rsid w:val="00C11901"/>
    <w:rsid w:val="00C8344C"/>
    <w:rsid w:val="00CA7922"/>
    <w:rsid w:val="00CA7FDD"/>
    <w:rsid w:val="00CD70B4"/>
    <w:rsid w:val="00D226A6"/>
    <w:rsid w:val="00D9353F"/>
    <w:rsid w:val="00DC689B"/>
    <w:rsid w:val="00E11A66"/>
    <w:rsid w:val="00E1526B"/>
    <w:rsid w:val="00EA6FEC"/>
    <w:rsid w:val="00EB6FEC"/>
    <w:rsid w:val="00F05B5E"/>
    <w:rsid w:val="00F36A9D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B5B4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7"/>
    <w:uiPriority w:val="99"/>
    <w:unhideWhenUsed/>
    <w:qFormat/>
    <w:rsid w:val="00993F35"/>
    <w:pPr>
      <w:spacing w:before="100" w:beforeAutospacing="1" w:after="100" w:afterAutospacing="1"/>
    </w:pPr>
  </w:style>
  <w:style w:type="character" w:customStyle="1" w:styleId="a7">
    <w:name w:val="Звичайни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uiPriority w:val="99"/>
    <w:qFormat/>
    <w:locked/>
    <w:rsid w:val="00156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0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18-00772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2112</Words>
  <Characters>1205</Characters>
  <Application>Microsoft Office Word</Application>
  <DocSecurity>0</DocSecurity>
  <Lines>10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94</cp:revision>
  <dcterms:created xsi:type="dcterms:W3CDTF">2023-05-11T07:52:00Z</dcterms:created>
  <dcterms:modified xsi:type="dcterms:W3CDTF">2025-07-18T11:36:00Z</dcterms:modified>
</cp:coreProperties>
</file>