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FAD2D" w14:textId="77777777" w:rsidR="00D004CD" w:rsidRDefault="00AB1C20" w:rsidP="00966330">
      <w:pPr>
        <w:spacing w:after="0" w:line="240" w:lineRule="auto"/>
        <w:ind w:firstLine="709"/>
        <w:jc w:val="center"/>
        <w:rPr>
          <w:rFonts w:ascii="Times New Roman" w:hAnsi="Times New Roman" w:cs="Times New Roman"/>
          <w:sz w:val="28"/>
          <w:szCs w:val="28"/>
        </w:rPr>
      </w:pPr>
      <w:r w:rsidRPr="00D004CD">
        <w:rPr>
          <w:rFonts w:ascii="Times New Roman" w:hAnsi="Times New Roman" w:cs="Times New Roman"/>
          <w:b/>
          <w:bCs/>
          <w:sz w:val="28"/>
          <w:szCs w:val="28"/>
        </w:rPr>
        <w:t>Аналіз регуляторного</w:t>
      </w:r>
      <w:r w:rsidRPr="00DF4344">
        <w:rPr>
          <w:rFonts w:ascii="Times New Roman" w:hAnsi="Times New Roman" w:cs="Times New Roman"/>
          <w:sz w:val="28"/>
          <w:szCs w:val="28"/>
        </w:rPr>
        <w:t xml:space="preserve"> </w:t>
      </w:r>
      <w:r w:rsidR="00D004CD" w:rsidRPr="00D004CD">
        <w:rPr>
          <w:rFonts w:ascii="Times New Roman" w:hAnsi="Times New Roman" w:cs="Times New Roman"/>
          <w:b/>
          <w:bCs/>
          <w:sz w:val="28"/>
          <w:szCs w:val="28"/>
        </w:rPr>
        <w:t>впливу</w:t>
      </w:r>
    </w:p>
    <w:p w14:paraId="1C7363A1" w14:textId="239C696E" w:rsidR="00AB1C20" w:rsidRDefault="00AB1C20" w:rsidP="006271B0">
      <w:pPr>
        <w:spacing w:after="0" w:line="240" w:lineRule="auto"/>
        <w:jc w:val="center"/>
        <w:rPr>
          <w:rFonts w:ascii="Times New Roman" w:hAnsi="Times New Roman" w:cs="Times New Roman"/>
          <w:b/>
          <w:bCs/>
          <w:sz w:val="28"/>
          <w:szCs w:val="28"/>
          <w:lang w:val="en-US"/>
        </w:rPr>
      </w:pPr>
      <w:r w:rsidRPr="00966330">
        <w:rPr>
          <w:rFonts w:ascii="Times New Roman" w:hAnsi="Times New Roman" w:cs="Times New Roman"/>
          <w:sz w:val="28"/>
          <w:szCs w:val="28"/>
        </w:rPr>
        <w:t>до про</w:t>
      </w:r>
      <w:r w:rsidR="003056B9">
        <w:rPr>
          <w:rFonts w:ascii="Times New Roman" w:hAnsi="Times New Roman" w:cs="Times New Roman"/>
          <w:sz w:val="28"/>
          <w:szCs w:val="28"/>
        </w:rPr>
        <w:t>є</w:t>
      </w:r>
      <w:r w:rsidRPr="00966330">
        <w:rPr>
          <w:rFonts w:ascii="Times New Roman" w:hAnsi="Times New Roman" w:cs="Times New Roman"/>
          <w:sz w:val="28"/>
          <w:szCs w:val="28"/>
        </w:rPr>
        <w:t>кту рішення Бучанської міської ради Київської області</w:t>
      </w:r>
      <w:r w:rsidRPr="00D004CD">
        <w:rPr>
          <w:rFonts w:ascii="Times New Roman" w:hAnsi="Times New Roman" w:cs="Times New Roman"/>
          <w:sz w:val="28"/>
          <w:szCs w:val="28"/>
        </w:rPr>
        <w:t xml:space="preserve"> «Про затвердження</w:t>
      </w:r>
      <w:r w:rsidRPr="00D004CD">
        <w:rPr>
          <w:rFonts w:ascii="Times New Roman" w:hAnsi="Times New Roman" w:cs="Times New Roman"/>
          <w:b/>
          <w:bCs/>
          <w:sz w:val="28"/>
          <w:szCs w:val="28"/>
        </w:rPr>
        <w:t xml:space="preserve"> </w:t>
      </w:r>
      <w:r w:rsidRPr="00D004CD">
        <w:rPr>
          <w:rStyle w:val="spanrvts23"/>
          <w:rFonts w:eastAsiaTheme="minorHAnsi"/>
          <w:b w:val="0"/>
          <w:bCs w:val="0"/>
          <w:sz w:val="28"/>
          <w:szCs w:val="28"/>
        </w:rPr>
        <w:t xml:space="preserve">Правил приймання стічних вод до систем централізованого водовідведення </w:t>
      </w:r>
      <w:r w:rsidRPr="00D004CD">
        <w:rPr>
          <w:rFonts w:ascii="Times New Roman" w:hAnsi="Times New Roman" w:cs="Times New Roman"/>
          <w:sz w:val="28"/>
          <w:szCs w:val="28"/>
        </w:rPr>
        <w:t>Бучанської міської територіальної громади</w:t>
      </w:r>
      <w:r w:rsidRPr="00D004CD">
        <w:rPr>
          <w:rFonts w:ascii="Times New Roman" w:hAnsi="Times New Roman" w:cs="Times New Roman"/>
          <w:b/>
          <w:bCs/>
          <w:sz w:val="28"/>
          <w:szCs w:val="28"/>
        </w:rPr>
        <w:t>»</w:t>
      </w:r>
      <w:r w:rsidR="003056B9">
        <w:rPr>
          <w:rFonts w:ascii="Times New Roman" w:hAnsi="Times New Roman" w:cs="Times New Roman"/>
          <w:b/>
          <w:bCs/>
          <w:sz w:val="28"/>
          <w:szCs w:val="28"/>
        </w:rPr>
        <w:t>.</w:t>
      </w:r>
    </w:p>
    <w:p w14:paraId="401768AA" w14:textId="77777777" w:rsidR="006264ED" w:rsidRPr="006264ED" w:rsidRDefault="006264ED" w:rsidP="00966330">
      <w:pPr>
        <w:spacing w:after="0" w:line="240" w:lineRule="auto"/>
        <w:jc w:val="both"/>
        <w:rPr>
          <w:rFonts w:ascii="Times New Roman" w:hAnsi="Times New Roman" w:cs="Times New Roman"/>
          <w:b/>
          <w:bCs/>
          <w:sz w:val="28"/>
          <w:szCs w:val="28"/>
          <w:lang w:val="en-US"/>
        </w:rPr>
      </w:pPr>
    </w:p>
    <w:p w14:paraId="520FFD5A" w14:textId="4D0C07F3" w:rsidR="00AB1C20" w:rsidRPr="006264ED" w:rsidRDefault="006516F0" w:rsidP="006264ED">
      <w:pPr>
        <w:spacing w:after="0" w:line="240" w:lineRule="auto"/>
        <w:ind w:firstLine="708"/>
        <w:jc w:val="both"/>
        <w:rPr>
          <w:rFonts w:ascii="Times New Roman" w:hAnsi="Times New Roman" w:cs="Times New Roman"/>
          <w:sz w:val="28"/>
          <w:szCs w:val="28"/>
        </w:rPr>
      </w:pPr>
      <w:r w:rsidRPr="006516F0">
        <w:rPr>
          <w:rFonts w:ascii="Times New Roman" w:hAnsi="Times New Roman" w:cs="Times New Roman"/>
          <w:sz w:val="28"/>
          <w:szCs w:val="28"/>
        </w:rPr>
        <w:t xml:space="preserve">Цей аналіз регуляторного впливу (далі – Аналіз) розроблений на виконання та з дотриманням вимог Закону України «Про засади державної регуляторної політики у сфері господарської діяльності» від 11.09.2003 </w:t>
      </w:r>
      <w:r w:rsidR="006264ED">
        <w:rPr>
          <w:rFonts w:ascii="Times New Roman" w:hAnsi="Times New Roman" w:cs="Times New Roman"/>
          <w:sz w:val="28"/>
          <w:szCs w:val="28"/>
          <w:lang w:val="en-US"/>
        </w:rPr>
        <w:br/>
      </w:r>
      <w:r w:rsidRPr="006516F0">
        <w:rPr>
          <w:rFonts w:ascii="Times New Roman" w:hAnsi="Times New Roman" w:cs="Times New Roman"/>
          <w:sz w:val="28"/>
          <w:szCs w:val="28"/>
        </w:rPr>
        <w:t xml:space="preserve">№ 1160IV та Методики проведення аналізу впливу регуляторного </w:t>
      </w:r>
      <w:proofErr w:type="spellStart"/>
      <w:r w:rsidRPr="006516F0">
        <w:rPr>
          <w:rFonts w:ascii="Times New Roman" w:hAnsi="Times New Roman" w:cs="Times New Roman"/>
          <w:sz w:val="28"/>
          <w:szCs w:val="28"/>
        </w:rPr>
        <w:t>акта</w:t>
      </w:r>
      <w:proofErr w:type="spellEnd"/>
      <w:r w:rsidRPr="006516F0">
        <w:rPr>
          <w:rFonts w:ascii="Times New Roman" w:hAnsi="Times New Roman" w:cs="Times New Roman"/>
          <w:sz w:val="28"/>
          <w:szCs w:val="28"/>
        </w:rPr>
        <w:t>, затвердженої постановою Кабінету Міністрів України від 11.03.2004 № 308 (зі змінами)</w:t>
      </w:r>
      <w:r w:rsidR="006264ED">
        <w:rPr>
          <w:rFonts w:ascii="Times New Roman" w:hAnsi="Times New Roman" w:cs="Times New Roman"/>
          <w:sz w:val="28"/>
          <w:szCs w:val="28"/>
        </w:rPr>
        <w:t>.</w:t>
      </w:r>
    </w:p>
    <w:p w14:paraId="4A773CD6" w14:textId="77777777" w:rsidR="00EF7838" w:rsidRPr="006516F0" w:rsidRDefault="006516F0" w:rsidP="00966330">
      <w:pPr>
        <w:spacing w:after="0" w:line="240" w:lineRule="auto"/>
        <w:ind w:firstLine="709"/>
        <w:jc w:val="center"/>
        <w:rPr>
          <w:rFonts w:ascii="Times New Roman" w:hAnsi="Times New Roman" w:cs="Times New Roman"/>
          <w:b/>
          <w:bCs/>
          <w:sz w:val="28"/>
          <w:szCs w:val="28"/>
        </w:rPr>
      </w:pPr>
      <w:r w:rsidRPr="006516F0">
        <w:rPr>
          <w:rFonts w:ascii="Times New Roman" w:hAnsi="Times New Roman" w:cs="Times New Roman"/>
          <w:b/>
          <w:bCs/>
          <w:sz w:val="28"/>
          <w:szCs w:val="28"/>
        </w:rPr>
        <w:t xml:space="preserve">1. </w:t>
      </w:r>
      <w:r w:rsidR="00EF7838" w:rsidRPr="006516F0">
        <w:rPr>
          <w:rFonts w:ascii="Times New Roman" w:hAnsi="Times New Roman" w:cs="Times New Roman"/>
          <w:b/>
          <w:bCs/>
          <w:sz w:val="28"/>
          <w:szCs w:val="28"/>
        </w:rPr>
        <w:t>Визначення проблеми, яку передбачається розв’язати шляхом прийняття регуляторного акт</w:t>
      </w:r>
      <w:r w:rsidRPr="006516F0">
        <w:rPr>
          <w:rFonts w:ascii="Times New Roman" w:hAnsi="Times New Roman" w:cs="Times New Roman"/>
          <w:b/>
          <w:bCs/>
          <w:sz w:val="28"/>
          <w:szCs w:val="28"/>
        </w:rPr>
        <w:t>у</w:t>
      </w:r>
      <w:r w:rsidR="00EF7838" w:rsidRPr="006516F0">
        <w:rPr>
          <w:rFonts w:ascii="Times New Roman" w:hAnsi="Times New Roman" w:cs="Times New Roman"/>
          <w:b/>
          <w:bCs/>
          <w:sz w:val="28"/>
          <w:szCs w:val="28"/>
        </w:rPr>
        <w:t>.</w:t>
      </w:r>
    </w:p>
    <w:p w14:paraId="5B65C119" w14:textId="77777777" w:rsidR="0080737E" w:rsidRPr="00DF4344" w:rsidRDefault="00EF7838" w:rsidP="00966330">
      <w:pPr>
        <w:pStyle w:val="a4"/>
        <w:ind w:firstLine="709"/>
        <w:jc w:val="both"/>
        <w:rPr>
          <w:sz w:val="28"/>
          <w:szCs w:val="28"/>
        </w:rPr>
      </w:pPr>
      <w:r w:rsidRPr="00DF4344">
        <w:rPr>
          <w:sz w:val="28"/>
          <w:szCs w:val="28"/>
        </w:rPr>
        <w:t>До системи централізованого водовідведення Бучанської міської територіальної громади приймаються стічні води від населення та стічні води від установ, організацій  і промислових підприємств (далі - Підприємства)</w:t>
      </w:r>
      <w:r w:rsidR="0080737E" w:rsidRPr="00DF4344">
        <w:rPr>
          <w:sz w:val="28"/>
          <w:szCs w:val="28"/>
        </w:rPr>
        <w:t xml:space="preserve">, які за якістю і режимом скиду повинні відповідають вимогам місцевих Правил приймання стічних вод до системи централізованого водовідведення міста, затверджених місцевими органами виконавчої влади. Правила регулюють взаємовідносини між КП «Бучасервіс» та юридичними особами незалежно від форм власності та відомчої належності, фізичних осіб - підприємців, фізичних осіб, які провадять незалежну професійну діяльність і взяті на облік як </w:t>
      </w:r>
      <w:proofErr w:type="spellStart"/>
      <w:r w:rsidR="0080737E" w:rsidRPr="00DF4344">
        <w:rPr>
          <w:sz w:val="28"/>
          <w:szCs w:val="28"/>
        </w:rPr>
        <w:t>самозайняті</w:t>
      </w:r>
      <w:proofErr w:type="spellEnd"/>
      <w:r w:rsidR="0080737E" w:rsidRPr="00DF4344">
        <w:rPr>
          <w:sz w:val="28"/>
          <w:szCs w:val="28"/>
        </w:rPr>
        <w:t xml:space="preserve"> особи у контролюючих органах згідно з </w:t>
      </w:r>
      <w:hyperlink r:id="rId7" w:tgtFrame="_blank" w:history="1">
        <w:r w:rsidR="0080737E" w:rsidRPr="00DF4344">
          <w:rPr>
            <w:rStyle w:val="a3"/>
            <w:color w:val="auto"/>
            <w:sz w:val="28"/>
            <w:szCs w:val="28"/>
            <w:u w:val="none"/>
          </w:rPr>
          <w:t>Податковим кодексом України</w:t>
        </w:r>
      </w:hyperlink>
      <w:r w:rsidR="0080737E" w:rsidRPr="00DF4344">
        <w:rPr>
          <w:sz w:val="28"/>
          <w:szCs w:val="28"/>
        </w:rPr>
        <w:t>, які скидають стічні води до системи централізованого водовідведення Бучанської міської територіальної громади. </w:t>
      </w:r>
    </w:p>
    <w:p w14:paraId="69ADB060" w14:textId="77777777" w:rsidR="0080737E" w:rsidRPr="00DF4344" w:rsidRDefault="0080737E" w:rsidP="00966330">
      <w:pPr>
        <w:pStyle w:val="a4"/>
        <w:ind w:firstLine="709"/>
        <w:jc w:val="both"/>
        <w:rPr>
          <w:sz w:val="28"/>
          <w:szCs w:val="28"/>
        </w:rPr>
      </w:pPr>
      <w:r w:rsidRPr="00DF4344">
        <w:rPr>
          <w:sz w:val="28"/>
          <w:szCs w:val="28"/>
        </w:rPr>
        <w:t xml:space="preserve">На теперішній час існує загальна проблема щодо вирішення питання контролю приймання стічних вод до системи централізованого водовідведення Бучанської міської територіальної громади. </w:t>
      </w:r>
    </w:p>
    <w:p w14:paraId="475439FA" w14:textId="77777777" w:rsidR="0080737E" w:rsidRPr="00DF4344" w:rsidRDefault="0080737E" w:rsidP="00966330">
      <w:pPr>
        <w:pStyle w:val="a4"/>
        <w:ind w:firstLine="709"/>
        <w:jc w:val="both"/>
        <w:rPr>
          <w:sz w:val="28"/>
          <w:szCs w:val="28"/>
        </w:rPr>
      </w:pPr>
      <w:r w:rsidRPr="00DF4344">
        <w:rPr>
          <w:sz w:val="28"/>
          <w:szCs w:val="28"/>
        </w:rPr>
        <w:t>Даним регуляторним актом пропонується вирішити такі питання:</w:t>
      </w:r>
    </w:p>
    <w:p w14:paraId="05410344" w14:textId="77777777" w:rsidR="0080737E" w:rsidRPr="00DF4344" w:rsidRDefault="0080737E" w:rsidP="00966330">
      <w:pPr>
        <w:pStyle w:val="a4"/>
        <w:numPr>
          <w:ilvl w:val="0"/>
          <w:numId w:val="1"/>
        </w:numPr>
        <w:ind w:left="0" w:firstLine="709"/>
        <w:jc w:val="both"/>
        <w:rPr>
          <w:sz w:val="28"/>
          <w:szCs w:val="28"/>
        </w:rPr>
      </w:pPr>
      <w:r w:rsidRPr="00DF4344">
        <w:rPr>
          <w:sz w:val="28"/>
          <w:szCs w:val="28"/>
        </w:rPr>
        <w:t>запобігання порушенням у роботі системи централізованого водовідведення Бучанської міської територіальної громади;</w:t>
      </w:r>
    </w:p>
    <w:p w14:paraId="2A26FA35" w14:textId="77777777" w:rsidR="0080737E" w:rsidRPr="00DF4344" w:rsidRDefault="0080737E" w:rsidP="00966330">
      <w:pPr>
        <w:pStyle w:val="a4"/>
        <w:numPr>
          <w:ilvl w:val="0"/>
          <w:numId w:val="1"/>
        </w:numPr>
        <w:ind w:left="0" w:firstLine="709"/>
        <w:jc w:val="both"/>
        <w:rPr>
          <w:sz w:val="28"/>
          <w:szCs w:val="28"/>
        </w:rPr>
      </w:pPr>
      <w:r w:rsidRPr="00DF4344">
        <w:rPr>
          <w:sz w:val="28"/>
          <w:szCs w:val="28"/>
        </w:rPr>
        <w:t>підвищення ефективності роботи системи централізованого водовідведення і безпеки її експлуатації;</w:t>
      </w:r>
    </w:p>
    <w:p w14:paraId="34598711" w14:textId="77777777" w:rsidR="0080737E" w:rsidRPr="00DF4344" w:rsidRDefault="0080737E" w:rsidP="00966330">
      <w:pPr>
        <w:pStyle w:val="a4"/>
        <w:numPr>
          <w:ilvl w:val="0"/>
          <w:numId w:val="1"/>
        </w:numPr>
        <w:ind w:left="0" w:firstLine="709"/>
        <w:jc w:val="both"/>
        <w:rPr>
          <w:sz w:val="28"/>
          <w:szCs w:val="28"/>
        </w:rPr>
      </w:pPr>
      <w:r w:rsidRPr="00DF4344">
        <w:rPr>
          <w:sz w:val="28"/>
          <w:szCs w:val="28"/>
        </w:rPr>
        <w:t>забезпечення охорони навколишнього природного середовища від забруднення скидами стічних вод;</w:t>
      </w:r>
    </w:p>
    <w:p w14:paraId="699F5969" w14:textId="77777777" w:rsidR="0080737E" w:rsidRPr="00DF4344" w:rsidRDefault="0080737E" w:rsidP="00966330">
      <w:pPr>
        <w:pStyle w:val="a4"/>
        <w:numPr>
          <w:ilvl w:val="0"/>
          <w:numId w:val="1"/>
        </w:numPr>
        <w:ind w:left="0" w:firstLine="709"/>
        <w:jc w:val="both"/>
        <w:rPr>
          <w:sz w:val="28"/>
          <w:szCs w:val="28"/>
          <w:lang w:eastAsia="en-US"/>
        </w:rPr>
      </w:pPr>
      <w:r w:rsidRPr="00DF4344">
        <w:rPr>
          <w:sz w:val="28"/>
          <w:szCs w:val="28"/>
          <w:lang w:eastAsia="en-US"/>
        </w:rPr>
        <w:t xml:space="preserve">впровадження ефективного контролю щодо </w:t>
      </w:r>
      <w:r w:rsidRPr="00DF4344">
        <w:rPr>
          <w:sz w:val="28"/>
          <w:szCs w:val="28"/>
        </w:rPr>
        <w:t>скиду стічних вод до системи централізованого водовідведення Бучанської міської територіальної громади;</w:t>
      </w:r>
      <w:r w:rsidRPr="00DF4344">
        <w:rPr>
          <w:sz w:val="28"/>
          <w:szCs w:val="28"/>
          <w:lang w:eastAsia="en-US"/>
        </w:rPr>
        <w:t xml:space="preserve"> </w:t>
      </w:r>
    </w:p>
    <w:p w14:paraId="213600DD" w14:textId="77777777" w:rsidR="00EF7838" w:rsidRPr="00DF4344" w:rsidRDefault="0080737E" w:rsidP="00966330">
      <w:pPr>
        <w:pStyle w:val="a4"/>
        <w:ind w:firstLine="709"/>
        <w:jc w:val="both"/>
        <w:rPr>
          <w:sz w:val="28"/>
          <w:szCs w:val="28"/>
          <w:lang w:eastAsia="en-US"/>
        </w:rPr>
      </w:pPr>
      <w:r w:rsidRPr="00DF4344">
        <w:rPr>
          <w:sz w:val="28"/>
          <w:szCs w:val="28"/>
          <w:lang w:eastAsia="en-US"/>
        </w:rPr>
        <w:t>- затвердження порядку виявлення та впровадження з</w:t>
      </w:r>
      <w:r w:rsidRPr="00DF4344">
        <w:rPr>
          <w:sz w:val="28"/>
          <w:szCs w:val="28"/>
        </w:rPr>
        <w:t>аходів впливу у разі порушення вимог щодо скиду стічних вод до системи централізованого водовідведення</w:t>
      </w:r>
      <w:r w:rsidRPr="00DF4344">
        <w:rPr>
          <w:i/>
          <w:sz w:val="28"/>
          <w:szCs w:val="28"/>
          <w:lang w:eastAsia="en-US"/>
        </w:rPr>
        <w:t xml:space="preserve"> </w:t>
      </w:r>
      <w:r w:rsidRPr="00DF4344">
        <w:rPr>
          <w:sz w:val="28"/>
          <w:szCs w:val="28"/>
          <w:lang w:eastAsia="en-US"/>
        </w:rPr>
        <w:t>(</w:t>
      </w:r>
      <w:r w:rsidRPr="00DF4344">
        <w:rPr>
          <w:sz w:val="28"/>
          <w:szCs w:val="28"/>
        </w:rPr>
        <w:t>відключення від системи централізованого водопостачання та водовідведення, стягнення з виробника грошових сум за порушення природоохоронного законодавства, тощо</w:t>
      </w:r>
      <w:r w:rsidRPr="00DF4344">
        <w:rPr>
          <w:sz w:val="28"/>
          <w:szCs w:val="28"/>
          <w:lang w:eastAsia="en-US"/>
        </w:rPr>
        <w:t>).</w:t>
      </w:r>
    </w:p>
    <w:p w14:paraId="2FCBF175" w14:textId="77777777" w:rsidR="00EF7838" w:rsidRDefault="00EF7838" w:rsidP="00966330">
      <w:pPr>
        <w:spacing w:after="0" w:line="240" w:lineRule="auto"/>
        <w:ind w:firstLine="709"/>
        <w:jc w:val="both"/>
        <w:rPr>
          <w:rFonts w:ascii="Times New Roman" w:hAnsi="Times New Roman" w:cs="Times New Roman"/>
          <w:sz w:val="28"/>
          <w:szCs w:val="28"/>
        </w:rPr>
      </w:pPr>
      <w:r w:rsidRPr="00DF4344">
        <w:rPr>
          <w:rFonts w:ascii="Times New Roman" w:hAnsi="Times New Roman" w:cs="Times New Roman"/>
          <w:sz w:val="28"/>
          <w:szCs w:val="28"/>
        </w:rPr>
        <w:t xml:space="preserve">В межах Бучанської міської територіальної громади трапляються випадки скидання до міських систем централізованого водовідведення стічних вод із </w:t>
      </w:r>
      <w:r w:rsidRPr="00DF4344">
        <w:rPr>
          <w:rFonts w:ascii="Times New Roman" w:hAnsi="Times New Roman" w:cs="Times New Roman"/>
          <w:sz w:val="28"/>
          <w:szCs w:val="28"/>
        </w:rPr>
        <w:lastRenderedPageBreak/>
        <w:t xml:space="preserve">вмістом жирів, нафтопродуктів, хлоридів, фосфатів, сміття, піску, смоли, шкідливих речовин та агресивних хімічних </w:t>
      </w:r>
      <w:proofErr w:type="spellStart"/>
      <w:r w:rsidRPr="00DF4344">
        <w:rPr>
          <w:rFonts w:ascii="Times New Roman" w:hAnsi="Times New Roman" w:cs="Times New Roman"/>
          <w:sz w:val="28"/>
          <w:szCs w:val="28"/>
        </w:rPr>
        <w:t>сполук</w:t>
      </w:r>
      <w:proofErr w:type="spellEnd"/>
      <w:r w:rsidRPr="00DF4344">
        <w:rPr>
          <w:rFonts w:ascii="Times New Roman" w:hAnsi="Times New Roman" w:cs="Times New Roman"/>
          <w:sz w:val="28"/>
          <w:szCs w:val="28"/>
        </w:rPr>
        <w:t xml:space="preserve">, а також інших заборонених до скидання в міську каналізацію речовин, які руйнують каналізаційні мережі та порушують технологічні регламенти роботи очисних споруд </w:t>
      </w:r>
      <w:proofErr w:type="spellStart"/>
      <w:r w:rsidRPr="00DF4344">
        <w:rPr>
          <w:rFonts w:ascii="Times New Roman" w:hAnsi="Times New Roman" w:cs="Times New Roman"/>
          <w:sz w:val="28"/>
          <w:szCs w:val="28"/>
        </w:rPr>
        <w:t>Бортницької</w:t>
      </w:r>
      <w:proofErr w:type="spellEnd"/>
      <w:r w:rsidRPr="00DF4344">
        <w:rPr>
          <w:rFonts w:ascii="Times New Roman" w:hAnsi="Times New Roman" w:cs="Times New Roman"/>
          <w:sz w:val="28"/>
          <w:szCs w:val="28"/>
        </w:rPr>
        <w:t xml:space="preserve"> станції аерації, куди потрапляють стічні води для очистки з подальшим скиданням очищених стічних вод до річки Дніпро. Спостерігаються наступні перевищення допустимих концентрацій забруднюючих речовин в стічних водах:</w:t>
      </w:r>
    </w:p>
    <w:p w14:paraId="42A97BBA" w14:textId="77777777" w:rsidR="00966330" w:rsidRPr="00DF4344" w:rsidRDefault="00966330" w:rsidP="00966330">
      <w:pPr>
        <w:spacing w:after="0" w:line="240" w:lineRule="auto"/>
        <w:ind w:firstLine="709"/>
        <w:jc w:val="both"/>
        <w:rPr>
          <w:rFonts w:ascii="Times New Roman" w:hAnsi="Times New Roman" w:cs="Times New Roman"/>
          <w:sz w:val="28"/>
          <w:szCs w:val="28"/>
        </w:rPr>
      </w:pPr>
    </w:p>
    <w:tbl>
      <w:tblPr>
        <w:tblStyle w:val="a5"/>
        <w:tblW w:w="9351" w:type="dxa"/>
        <w:jc w:val="center"/>
        <w:tblLook w:val="04A0" w:firstRow="1" w:lastRow="0" w:firstColumn="1" w:lastColumn="0" w:noHBand="0" w:noVBand="1"/>
      </w:tblPr>
      <w:tblGrid>
        <w:gridCol w:w="1129"/>
        <w:gridCol w:w="8222"/>
      </w:tblGrid>
      <w:tr w:rsidR="00707F9F" w:rsidRPr="00D36920" w14:paraId="7BDA322D" w14:textId="77777777" w:rsidTr="00966330">
        <w:trPr>
          <w:jc w:val="center"/>
        </w:trPr>
        <w:tc>
          <w:tcPr>
            <w:tcW w:w="1129" w:type="dxa"/>
          </w:tcPr>
          <w:p w14:paraId="3DFAE0CF" w14:textId="77777777" w:rsidR="00707F9F" w:rsidRPr="00D36920" w:rsidRDefault="0080737E" w:rsidP="00966330">
            <w:pPr>
              <w:jc w:val="both"/>
              <w:rPr>
                <w:rFonts w:ascii="Times New Roman" w:hAnsi="Times New Roman" w:cs="Times New Roman"/>
                <w:b/>
                <w:bCs/>
                <w:i/>
                <w:iCs/>
                <w:sz w:val="26"/>
                <w:szCs w:val="26"/>
              </w:rPr>
            </w:pPr>
            <w:r w:rsidRPr="00D36920">
              <w:rPr>
                <w:rFonts w:ascii="Times New Roman" w:hAnsi="Times New Roman" w:cs="Times New Roman"/>
                <w:b/>
                <w:bCs/>
                <w:i/>
                <w:iCs/>
                <w:sz w:val="26"/>
                <w:szCs w:val="26"/>
              </w:rPr>
              <w:t xml:space="preserve">№ з/п </w:t>
            </w:r>
          </w:p>
        </w:tc>
        <w:tc>
          <w:tcPr>
            <w:tcW w:w="8222" w:type="dxa"/>
          </w:tcPr>
          <w:p w14:paraId="5C8F2DBA" w14:textId="77777777" w:rsidR="00707F9F" w:rsidRPr="00D36920" w:rsidRDefault="0080737E" w:rsidP="00DF4344">
            <w:pPr>
              <w:ind w:firstLine="709"/>
              <w:jc w:val="both"/>
              <w:rPr>
                <w:rFonts w:ascii="Times New Roman" w:hAnsi="Times New Roman" w:cs="Times New Roman"/>
                <w:b/>
                <w:bCs/>
                <w:i/>
                <w:iCs/>
                <w:sz w:val="26"/>
                <w:szCs w:val="26"/>
              </w:rPr>
            </w:pPr>
            <w:r w:rsidRPr="00D36920">
              <w:rPr>
                <w:rFonts w:ascii="Times New Roman" w:hAnsi="Times New Roman" w:cs="Times New Roman"/>
                <w:b/>
                <w:bCs/>
                <w:i/>
                <w:iCs/>
                <w:sz w:val="26"/>
                <w:szCs w:val="26"/>
              </w:rPr>
              <w:t>Показники якості стічних вод</w:t>
            </w:r>
          </w:p>
        </w:tc>
      </w:tr>
      <w:tr w:rsidR="00707F9F" w:rsidRPr="00D36920" w14:paraId="2EC73571" w14:textId="77777777" w:rsidTr="00966330">
        <w:trPr>
          <w:jc w:val="center"/>
        </w:trPr>
        <w:tc>
          <w:tcPr>
            <w:tcW w:w="1129" w:type="dxa"/>
          </w:tcPr>
          <w:p w14:paraId="7CC3E0FB" w14:textId="77777777" w:rsidR="00707F9F" w:rsidRPr="00D36920" w:rsidRDefault="0080737E" w:rsidP="00966330">
            <w:pPr>
              <w:ind w:right="32" w:firstLine="318"/>
              <w:rPr>
                <w:rFonts w:ascii="Times New Roman" w:hAnsi="Times New Roman" w:cs="Times New Roman"/>
                <w:sz w:val="26"/>
                <w:szCs w:val="26"/>
              </w:rPr>
            </w:pPr>
            <w:r w:rsidRPr="00D36920">
              <w:rPr>
                <w:rFonts w:ascii="Times New Roman" w:hAnsi="Times New Roman" w:cs="Times New Roman"/>
                <w:sz w:val="26"/>
                <w:szCs w:val="26"/>
              </w:rPr>
              <w:t>1</w:t>
            </w:r>
          </w:p>
        </w:tc>
        <w:tc>
          <w:tcPr>
            <w:tcW w:w="8222" w:type="dxa"/>
          </w:tcPr>
          <w:p w14:paraId="019AE81C" w14:textId="77777777" w:rsidR="00707F9F" w:rsidRPr="00D36920" w:rsidRDefault="0080737E" w:rsidP="00966330">
            <w:pPr>
              <w:ind w:firstLine="312"/>
              <w:jc w:val="both"/>
              <w:rPr>
                <w:rFonts w:ascii="Times New Roman" w:hAnsi="Times New Roman" w:cs="Times New Roman"/>
                <w:sz w:val="26"/>
                <w:szCs w:val="26"/>
              </w:rPr>
            </w:pPr>
            <w:r w:rsidRPr="00D36920">
              <w:rPr>
                <w:rFonts w:ascii="Times New Roman" w:hAnsi="Times New Roman" w:cs="Times New Roman"/>
                <w:sz w:val="26"/>
                <w:szCs w:val="26"/>
              </w:rPr>
              <w:t>Завислі речовини</w:t>
            </w:r>
          </w:p>
        </w:tc>
      </w:tr>
      <w:tr w:rsidR="00707F9F" w:rsidRPr="00D36920" w14:paraId="1C46A115" w14:textId="77777777" w:rsidTr="00966330">
        <w:trPr>
          <w:jc w:val="center"/>
        </w:trPr>
        <w:tc>
          <w:tcPr>
            <w:tcW w:w="1129" w:type="dxa"/>
          </w:tcPr>
          <w:p w14:paraId="2B59FD88" w14:textId="77777777" w:rsidR="00707F9F" w:rsidRPr="00D36920" w:rsidRDefault="0080737E" w:rsidP="00966330">
            <w:pPr>
              <w:ind w:right="32" w:firstLine="318"/>
              <w:rPr>
                <w:rFonts w:ascii="Times New Roman" w:hAnsi="Times New Roman" w:cs="Times New Roman"/>
                <w:sz w:val="26"/>
                <w:szCs w:val="26"/>
              </w:rPr>
            </w:pPr>
            <w:r w:rsidRPr="00D36920">
              <w:rPr>
                <w:rFonts w:ascii="Times New Roman" w:hAnsi="Times New Roman" w:cs="Times New Roman"/>
                <w:sz w:val="26"/>
                <w:szCs w:val="26"/>
              </w:rPr>
              <w:t>2</w:t>
            </w:r>
          </w:p>
        </w:tc>
        <w:tc>
          <w:tcPr>
            <w:tcW w:w="8222" w:type="dxa"/>
          </w:tcPr>
          <w:p w14:paraId="36600257" w14:textId="77777777" w:rsidR="00707F9F" w:rsidRPr="00D36920" w:rsidRDefault="0080737E" w:rsidP="00966330">
            <w:pPr>
              <w:ind w:firstLine="312"/>
              <w:jc w:val="both"/>
              <w:rPr>
                <w:rFonts w:ascii="Times New Roman" w:hAnsi="Times New Roman" w:cs="Times New Roman"/>
                <w:sz w:val="26"/>
                <w:szCs w:val="26"/>
              </w:rPr>
            </w:pPr>
            <w:r w:rsidRPr="00D36920">
              <w:rPr>
                <w:rFonts w:ascii="Times New Roman" w:hAnsi="Times New Roman" w:cs="Times New Roman"/>
                <w:sz w:val="26"/>
                <w:szCs w:val="26"/>
              </w:rPr>
              <w:t>Азот амонійний</w:t>
            </w:r>
          </w:p>
        </w:tc>
      </w:tr>
      <w:tr w:rsidR="00707F9F" w:rsidRPr="00D36920" w14:paraId="54575BB7" w14:textId="77777777" w:rsidTr="00966330">
        <w:trPr>
          <w:jc w:val="center"/>
        </w:trPr>
        <w:tc>
          <w:tcPr>
            <w:tcW w:w="1129" w:type="dxa"/>
          </w:tcPr>
          <w:p w14:paraId="5C9E59C6" w14:textId="77777777" w:rsidR="00707F9F" w:rsidRPr="00D36920" w:rsidRDefault="0080737E" w:rsidP="00966330">
            <w:pPr>
              <w:ind w:right="32" w:firstLine="318"/>
              <w:rPr>
                <w:rFonts w:ascii="Times New Roman" w:hAnsi="Times New Roman" w:cs="Times New Roman"/>
                <w:sz w:val="26"/>
                <w:szCs w:val="26"/>
              </w:rPr>
            </w:pPr>
            <w:r w:rsidRPr="00D36920">
              <w:rPr>
                <w:rFonts w:ascii="Times New Roman" w:hAnsi="Times New Roman" w:cs="Times New Roman"/>
                <w:sz w:val="26"/>
                <w:szCs w:val="26"/>
              </w:rPr>
              <w:t>3</w:t>
            </w:r>
          </w:p>
        </w:tc>
        <w:tc>
          <w:tcPr>
            <w:tcW w:w="8222" w:type="dxa"/>
          </w:tcPr>
          <w:p w14:paraId="41E6F525" w14:textId="77777777" w:rsidR="00707F9F" w:rsidRPr="00D36920" w:rsidRDefault="0080737E" w:rsidP="00966330">
            <w:pPr>
              <w:ind w:firstLine="312"/>
              <w:jc w:val="both"/>
              <w:rPr>
                <w:rFonts w:ascii="Times New Roman" w:hAnsi="Times New Roman" w:cs="Times New Roman"/>
                <w:sz w:val="26"/>
                <w:szCs w:val="26"/>
              </w:rPr>
            </w:pPr>
            <w:r w:rsidRPr="00D36920">
              <w:rPr>
                <w:rFonts w:ascii="Times New Roman" w:hAnsi="Times New Roman" w:cs="Times New Roman"/>
                <w:sz w:val="26"/>
                <w:szCs w:val="26"/>
              </w:rPr>
              <w:t>Фосфати</w:t>
            </w:r>
          </w:p>
        </w:tc>
      </w:tr>
      <w:tr w:rsidR="00707F9F" w:rsidRPr="00D36920" w14:paraId="201A4E6B" w14:textId="77777777" w:rsidTr="00966330">
        <w:trPr>
          <w:jc w:val="center"/>
        </w:trPr>
        <w:tc>
          <w:tcPr>
            <w:tcW w:w="1129" w:type="dxa"/>
          </w:tcPr>
          <w:p w14:paraId="36665C10" w14:textId="77777777" w:rsidR="00707F9F" w:rsidRPr="00D36920" w:rsidRDefault="0080737E" w:rsidP="00966330">
            <w:pPr>
              <w:ind w:right="32" w:firstLine="318"/>
              <w:rPr>
                <w:rFonts w:ascii="Times New Roman" w:hAnsi="Times New Roman" w:cs="Times New Roman"/>
                <w:sz w:val="26"/>
                <w:szCs w:val="26"/>
              </w:rPr>
            </w:pPr>
            <w:r w:rsidRPr="00D36920">
              <w:rPr>
                <w:rFonts w:ascii="Times New Roman" w:hAnsi="Times New Roman" w:cs="Times New Roman"/>
                <w:sz w:val="26"/>
                <w:szCs w:val="26"/>
              </w:rPr>
              <w:t>4</w:t>
            </w:r>
          </w:p>
        </w:tc>
        <w:tc>
          <w:tcPr>
            <w:tcW w:w="8222" w:type="dxa"/>
          </w:tcPr>
          <w:p w14:paraId="0FE6B0D3" w14:textId="77777777" w:rsidR="00707F9F" w:rsidRPr="00D36920" w:rsidRDefault="0080737E" w:rsidP="00966330">
            <w:pPr>
              <w:ind w:firstLine="312"/>
              <w:jc w:val="both"/>
              <w:rPr>
                <w:rFonts w:ascii="Times New Roman" w:hAnsi="Times New Roman" w:cs="Times New Roman"/>
                <w:sz w:val="26"/>
                <w:szCs w:val="26"/>
              </w:rPr>
            </w:pPr>
            <w:r w:rsidRPr="00D36920">
              <w:rPr>
                <w:rFonts w:ascii="Times New Roman" w:hAnsi="Times New Roman" w:cs="Times New Roman"/>
                <w:sz w:val="26"/>
                <w:szCs w:val="26"/>
              </w:rPr>
              <w:t>Хімічне споживання кисню (ХСК)</w:t>
            </w:r>
          </w:p>
        </w:tc>
      </w:tr>
      <w:tr w:rsidR="00707F9F" w:rsidRPr="00D36920" w14:paraId="2470AF80" w14:textId="77777777" w:rsidTr="00966330">
        <w:trPr>
          <w:jc w:val="center"/>
        </w:trPr>
        <w:tc>
          <w:tcPr>
            <w:tcW w:w="1129" w:type="dxa"/>
          </w:tcPr>
          <w:p w14:paraId="2C3F2874" w14:textId="77777777" w:rsidR="00707F9F" w:rsidRPr="00D36920" w:rsidRDefault="0080737E" w:rsidP="00966330">
            <w:pPr>
              <w:ind w:right="32" w:firstLine="318"/>
              <w:rPr>
                <w:rFonts w:ascii="Times New Roman" w:hAnsi="Times New Roman" w:cs="Times New Roman"/>
                <w:sz w:val="26"/>
                <w:szCs w:val="26"/>
              </w:rPr>
            </w:pPr>
            <w:r w:rsidRPr="00D36920">
              <w:rPr>
                <w:rFonts w:ascii="Times New Roman" w:hAnsi="Times New Roman" w:cs="Times New Roman"/>
                <w:sz w:val="26"/>
                <w:szCs w:val="26"/>
              </w:rPr>
              <w:t>5</w:t>
            </w:r>
          </w:p>
        </w:tc>
        <w:tc>
          <w:tcPr>
            <w:tcW w:w="8222" w:type="dxa"/>
          </w:tcPr>
          <w:p w14:paraId="0DFFABDB" w14:textId="77777777" w:rsidR="00707F9F" w:rsidRPr="00D36920" w:rsidRDefault="0080737E" w:rsidP="00966330">
            <w:pPr>
              <w:ind w:firstLine="312"/>
              <w:jc w:val="both"/>
              <w:rPr>
                <w:rFonts w:ascii="Times New Roman" w:hAnsi="Times New Roman" w:cs="Times New Roman"/>
                <w:sz w:val="26"/>
                <w:szCs w:val="26"/>
              </w:rPr>
            </w:pPr>
            <w:r w:rsidRPr="00D36920">
              <w:rPr>
                <w:rFonts w:ascii="Times New Roman" w:hAnsi="Times New Roman" w:cs="Times New Roman"/>
                <w:sz w:val="26"/>
                <w:szCs w:val="26"/>
              </w:rPr>
              <w:t>Хлориди</w:t>
            </w:r>
          </w:p>
        </w:tc>
      </w:tr>
      <w:tr w:rsidR="00707F9F" w:rsidRPr="00D36920" w14:paraId="248E66CD" w14:textId="77777777" w:rsidTr="00966330">
        <w:trPr>
          <w:jc w:val="center"/>
        </w:trPr>
        <w:tc>
          <w:tcPr>
            <w:tcW w:w="1129" w:type="dxa"/>
          </w:tcPr>
          <w:p w14:paraId="12098B28" w14:textId="77777777" w:rsidR="00707F9F" w:rsidRPr="00D36920" w:rsidRDefault="0080737E" w:rsidP="00966330">
            <w:pPr>
              <w:ind w:right="32" w:firstLine="318"/>
              <w:rPr>
                <w:rFonts w:ascii="Times New Roman" w:hAnsi="Times New Roman" w:cs="Times New Roman"/>
                <w:sz w:val="26"/>
                <w:szCs w:val="26"/>
              </w:rPr>
            </w:pPr>
            <w:r w:rsidRPr="00D36920">
              <w:rPr>
                <w:rFonts w:ascii="Times New Roman" w:hAnsi="Times New Roman" w:cs="Times New Roman"/>
                <w:sz w:val="26"/>
                <w:szCs w:val="26"/>
              </w:rPr>
              <w:t>6</w:t>
            </w:r>
          </w:p>
        </w:tc>
        <w:tc>
          <w:tcPr>
            <w:tcW w:w="8222" w:type="dxa"/>
          </w:tcPr>
          <w:p w14:paraId="132C4637" w14:textId="77777777" w:rsidR="00707F9F" w:rsidRPr="00D36920" w:rsidRDefault="0080737E" w:rsidP="00966330">
            <w:pPr>
              <w:ind w:firstLine="312"/>
              <w:jc w:val="both"/>
              <w:rPr>
                <w:rFonts w:ascii="Times New Roman" w:hAnsi="Times New Roman" w:cs="Times New Roman"/>
                <w:sz w:val="26"/>
                <w:szCs w:val="26"/>
              </w:rPr>
            </w:pPr>
            <w:r w:rsidRPr="00D36920">
              <w:rPr>
                <w:rFonts w:ascii="Times New Roman" w:hAnsi="Times New Roman" w:cs="Times New Roman"/>
                <w:sz w:val="26"/>
                <w:szCs w:val="26"/>
              </w:rPr>
              <w:t>Жири</w:t>
            </w:r>
          </w:p>
        </w:tc>
      </w:tr>
      <w:tr w:rsidR="00707F9F" w:rsidRPr="00D36920" w14:paraId="342E34C2" w14:textId="77777777" w:rsidTr="00966330">
        <w:trPr>
          <w:jc w:val="center"/>
        </w:trPr>
        <w:tc>
          <w:tcPr>
            <w:tcW w:w="1129" w:type="dxa"/>
          </w:tcPr>
          <w:p w14:paraId="060A9081" w14:textId="77777777" w:rsidR="00707F9F" w:rsidRPr="00D36920" w:rsidRDefault="0080737E" w:rsidP="00966330">
            <w:pPr>
              <w:ind w:right="32" w:firstLine="318"/>
              <w:rPr>
                <w:rFonts w:ascii="Times New Roman" w:hAnsi="Times New Roman" w:cs="Times New Roman"/>
                <w:sz w:val="26"/>
                <w:szCs w:val="26"/>
              </w:rPr>
            </w:pPr>
            <w:r w:rsidRPr="00D36920">
              <w:rPr>
                <w:rFonts w:ascii="Times New Roman" w:hAnsi="Times New Roman" w:cs="Times New Roman"/>
                <w:sz w:val="26"/>
                <w:szCs w:val="26"/>
              </w:rPr>
              <w:t>7</w:t>
            </w:r>
          </w:p>
        </w:tc>
        <w:tc>
          <w:tcPr>
            <w:tcW w:w="8222" w:type="dxa"/>
          </w:tcPr>
          <w:p w14:paraId="5E566A05" w14:textId="77777777" w:rsidR="00707F9F" w:rsidRPr="00D36920" w:rsidRDefault="0080737E" w:rsidP="00966330">
            <w:pPr>
              <w:ind w:firstLine="312"/>
              <w:jc w:val="both"/>
              <w:rPr>
                <w:rFonts w:ascii="Times New Roman" w:hAnsi="Times New Roman" w:cs="Times New Roman"/>
                <w:sz w:val="26"/>
                <w:szCs w:val="26"/>
              </w:rPr>
            </w:pPr>
            <w:r w:rsidRPr="00D36920">
              <w:rPr>
                <w:rFonts w:ascii="Times New Roman" w:hAnsi="Times New Roman" w:cs="Times New Roman"/>
                <w:sz w:val="26"/>
                <w:szCs w:val="26"/>
              </w:rPr>
              <w:t>АПАР</w:t>
            </w:r>
          </w:p>
        </w:tc>
      </w:tr>
      <w:tr w:rsidR="0080737E" w:rsidRPr="00D36920" w14:paraId="5D03F9CF" w14:textId="77777777" w:rsidTr="00966330">
        <w:trPr>
          <w:jc w:val="center"/>
        </w:trPr>
        <w:tc>
          <w:tcPr>
            <w:tcW w:w="1129" w:type="dxa"/>
          </w:tcPr>
          <w:p w14:paraId="6BAAC260" w14:textId="77777777" w:rsidR="0080737E" w:rsidRPr="00D36920" w:rsidRDefault="0080737E" w:rsidP="00966330">
            <w:pPr>
              <w:ind w:right="32" w:firstLine="318"/>
              <w:rPr>
                <w:rFonts w:ascii="Times New Roman" w:hAnsi="Times New Roman" w:cs="Times New Roman"/>
                <w:sz w:val="26"/>
                <w:szCs w:val="26"/>
              </w:rPr>
            </w:pPr>
            <w:r w:rsidRPr="00D36920">
              <w:rPr>
                <w:rFonts w:ascii="Times New Roman" w:hAnsi="Times New Roman" w:cs="Times New Roman"/>
                <w:sz w:val="26"/>
                <w:szCs w:val="26"/>
              </w:rPr>
              <w:t>8</w:t>
            </w:r>
          </w:p>
        </w:tc>
        <w:tc>
          <w:tcPr>
            <w:tcW w:w="8222" w:type="dxa"/>
          </w:tcPr>
          <w:p w14:paraId="10EFDD28" w14:textId="77777777" w:rsidR="0080737E" w:rsidRPr="00D36920" w:rsidRDefault="0080737E" w:rsidP="00966330">
            <w:pPr>
              <w:ind w:firstLine="312"/>
              <w:jc w:val="both"/>
              <w:rPr>
                <w:rFonts w:ascii="Times New Roman" w:hAnsi="Times New Roman" w:cs="Times New Roman"/>
                <w:sz w:val="26"/>
                <w:szCs w:val="26"/>
              </w:rPr>
            </w:pPr>
            <w:r w:rsidRPr="00D36920">
              <w:rPr>
                <w:rFonts w:ascii="Times New Roman" w:hAnsi="Times New Roman" w:cs="Times New Roman"/>
                <w:sz w:val="26"/>
                <w:szCs w:val="26"/>
              </w:rPr>
              <w:t>Нафтопродукти</w:t>
            </w:r>
          </w:p>
        </w:tc>
      </w:tr>
      <w:tr w:rsidR="0080737E" w:rsidRPr="00D36920" w14:paraId="093BAF79" w14:textId="77777777" w:rsidTr="00966330">
        <w:trPr>
          <w:jc w:val="center"/>
        </w:trPr>
        <w:tc>
          <w:tcPr>
            <w:tcW w:w="1129" w:type="dxa"/>
          </w:tcPr>
          <w:p w14:paraId="7C934F77" w14:textId="77777777" w:rsidR="0080737E" w:rsidRPr="00D36920" w:rsidRDefault="0080737E" w:rsidP="00966330">
            <w:pPr>
              <w:ind w:right="32" w:firstLine="318"/>
              <w:rPr>
                <w:rFonts w:ascii="Times New Roman" w:hAnsi="Times New Roman" w:cs="Times New Roman"/>
                <w:sz w:val="26"/>
                <w:szCs w:val="26"/>
              </w:rPr>
            </w:pPr>
            <w:r w:rsidRPr="00D36920">
              <w:rPr>
                <w:rFonts w:ascii="Times New Roman" w:hAnsi="Times New Roman" w:cs="Times New Roman"/>
                <w:sz w:val="26"/>
                <w:szCs w:val="26"/>
              </w:rPr>
              <w:t>9</w:t>
            </w:r>
          </w:p>
        </w:tc>
        <w:tc>
          <w:tcPr>
            <w:tcW w:w="8222" w:type="dxa"/>
          </w:tcPr>
          <w:p w14:paraId="3A5C7D32" w14:textId="77777777" w:rsidR="0080737E" w:rsidRPr="00D36920" w:rsidRDefault="0080737E" w:rsidP="00966330">
            <w:pPr>
              <w:ind w:firstLine="312"/>
              <w:jc w:val="both"/>
              <w:rPr>
                <w:rFonts w:ascii="Times New Roman" w:hAnsi="Times New Roman" w:cs="Times New Roman"/>
                <w:sz w:val="26"/>
                <w:szCs w:val="26"/>
              </w:rPr>
            </w:pPr>
            <w:r w:rsidRPr="00D36920">
              <w:rPr>
                <w:rFonts w:ascii="Times New Roman" w:hAnsi="Times New Roman" w:cs="Times New Roman"/>
                <w:sz w:val="26"/>
                <w:szCs w:val="26"/>
              </w:rPr>
              <w:t>Активна реакція (</w:t>
            </w:r>
            <w:proofErr w:type="spellStart"/>
            <w:r w:rsidRPr="00D36920">
              <w:rPr>
                <w:rFonts w:ascii="Times New Roman" w:hAnsi="Times New Roman" w:cs="Times New Roman"/>
                <w:sz w:val="26"/>
                <w:szCs w:val="26"/>
              </w:rPr>
              <w:t>рН</w:t>
            </w:r>
            <w:proofErr w:type="spellEnd"/>
            <w:r w:rsidRPr="00D36920">
              <w:rPr>
                <w:rFonts w:ascii="Times New Roman" w:hAnsi="Times New Roman" w:cs="Times New Roman"/>
                <w:sz w:val="26"/>
                <w:szCs w:val="26"/>
              </w:rPr>
              <w:t xml:space="preserve">) </w:t>
            </w:r>
          </w:p>
        </w:tc>
      </w:tr>
      <w:tr w:rsidR="0080737E" w:rsidRPr="00D36920" w14:paraId="4F32792C" w14:textId="77777777" w:rsidTr="00966330">
        <w:trPr>
          <w:jc w:val="center"/>
        </w:trPr>
        <w:tc>
          <w:tcPr>
            <w:tcW w:w="1129" w:type="dxa"/>
          </w:tcPr>
          <w:p w14:paraId="51C7734C" w14:textId="77777777" w:rsidR="0080737E" w:rsidRPr="00D36920" w:rsidRDefault="0080737E" w:rsidP="00966330">
            <w:pPr>
              <w:ind w:right="32" w:firstLine="318"/>
              <w:rPr>
                <w:rFonts w:ascii="Times New Roman" w:hAnsi="Times New Roman" w:cs="Times New Roman"/>
                <w:sz w:val="26"/>
                <w:szCs w:val="26"/>
              </w:rPr>
            </w:pPr>
            <w:r w:rsidRPr="00D36920">
              <w:rPr>
                <w:rFonts w:ascii="Times New Roman" w:hAnsi="Times New Roman" w:cs="Times New Roman"/>
                <w:sz w:val="26"/>
                <w:szCs w:val="26"/>
              </w:rPr>
              <w:t>10</w:t>
            </w:r>
          </w:p>
        </w:tc>
        <w:tc>
          <w:tcPr>
            <w:tcW w:w="8222" w:type="dxa"/>
          </w:tcPr>
          <w:p w14:paraId="6B9F093E" w14:textId="77777777" w:rsidR="0080737E" w:rsidRPr="00D36920" w:rsidRDefault="0080737E" w:rsidP="00966330">
            <w:pPr>
              <w:ind w:firstLine="312"/>
              <w:jc w:val="both"/>
              <w:rPr>
                <w:rFonts w:ascii="Times New Roman" w:hAnsi="Times New Roman" w:cs="Times New Roman"/>
                <w:sz w:val="26"/>
                <w:szCs w:val="26"/>
              </w:rPr>
            </w:pPr>
            <w:r w:rsidRPr="00D36920">
              <w:rPr>
                <w:rFonts w:ascii="Times New Roman" w:hAnsi="Times New Roman" w:cs="Times New Roman"/>
                <w:sz w:val="26"/>
                <w:szCs w:val="26"/>
              </w:rPr>
              <w:t>Мінералізація (сухий залишок)</w:t>
            </w:r>
          </w:p>
        </w:tc>
      </w:tr>
      <w:tr w:rsidR="0080737E" w:rsidRPr="00D36920" w14:paraId="0C93E0FC" w14:textId="77777777" w:rsidTr="00966330">
        <w:trPr>
          <w:jc w:val="center"/>
        </w:trPr>
        <w:tc>
          <w:tcPr>
            <w:tcW w:w="1129" w:type="dxa"/>
          </w:tcPr>
          <w:p w14:paraId="5E5F6B51" w14:textId="77777777" w:rsidR="0080737E" w:rsidRPr="00D36920" w:rsidRDefault="0080737E" w:rsidP="00966330">
            <w:pPr>
              <w:ind w:right="32" w:firstLine="318"/>
              <w:rPr>
                <w:rFonts w:ascii="Times New Roman" w:hAnsi="Times New Roman" w:cs="Times New Roman"/>
                <w:sz w:val="26"/>
                <w:szCs w:val="26"/>
              </w:rPr>
            </w:pPr>
            <w:r w:rsidRPr="00D36920">
              <w:rPr>
                <w:rFonts w:ascii="Times New Roman" w:hAnsi="Times New Roman" w:cs="Times New Roman"/>
                <w:sz w:val="26"/>
                <w:szCs w:val="26"/>
              </w:rPr>
              <w:t>11</w:t>
            </w:r>
          </w:p>
        </w:tc>
        <w:tc>
          <w:tcPr>
            <w:tcW w:w="8222" w:type="dxa"/>
          </w:tcPr>
          <w:p w14:paraId="0DA4F691" w14:textId="77777777" w:rsidR="0080737E" w:rsidRPr="00D36920" w:rsidRDefault="0080737E" w:rsidP="00966330">
            <w:pPr>
              <w:ind w:firstLine="312"/>
              <w:jc w:val="both"/>
              <w:rPr>
                <w:rFonts w:ascii="Times New Roman" w:hAnsi="Times New Roman" w:cs="Times New Roman"/>
                <w:sz w:val="26"/>
                <w:szCs w:val="26"/>
              </w:rPr>
            </w:pPr>
            <w:r w:rsidRPr="00D36920">
              <w:rPr>
                <w:rFonts w:ascii="Times New Roman" w:hAnsi="Times New Roman" w:cs="Times New Roman"/>
                <w:sz w:val="26"/>
                <w:szCs w:val="26"/>
              </w:rPr>
              <w:t>Залізо (загальне)</w:t>
            </w:r>
          </w:p>
        </w:tc>
      </w:tr>
    </w:tbl>
    <w:p w14:paraId="10BD1616" w14:textId="77777777" w:rsidR="003056B9" w:rsidRDefault="003056B9" w:rsidP="003056B9">
      <w:pPr>
        <w:spacing w:after="0"/>
        <w:jc w:val="both"/>
        <w:rPr>
          <w:rFonts w:ascii="Times New Roman" w:hAnsi="Times New Roman" w:cs="Times New Roman"/>
          <w:sz w:val="28"/>
          <w:szCs w:val="28"/>
        </w:rPr>
      </w:pPr>
    </w:p>
    <w:p w14:paraId="1AD31C79" w14:textId="4285593B" w:rsidR="00966330" w:rsidRDefault="00EF7838" w:rsidP="003056B9">
      <w:pPr>
        <w:spacing w:after="0"/>
        <w:ind w:firstLine="708"/>
        <w:jc w:val="both"/>
        <w:rPr>
          <w:rFonts w:ascii="Times New Roman" w:hAnsi="Times New Roman" w:cs="Times New Roman"/>
          <w:sz w:val="28"/>
          <w:szCs w:val="28"/>
        </w:rPr>
      </w:pPr>
      <w:r w:rsidRPr="00DF4344">
        <w:rPr>
          <w:rFonts w:ascii="Times New Roman" w:hAnsi="Times New Roman" w:cs="Times New Roman"/>
          <w:sz w:val="28"/>
          <w:szCs w:val="28"/>
        </w:rPr>
        <w:t xml:space="preserve">Одним з показників, по якому виявлено найбільше перевищень допустимих концентрацій забруднюючих речовин є фосфати. Потрапляючи разом з стічними водами в річки та водойми вони стають відмінним живильним середовищем для водоростей, які починають буйно рости та цвісти поглинаючи кисень, який необхідний для риби, раків та інших мешканців, забруднюючи водойми продуктами життєдіяльності. Через надлишок фосфатів у водоймах змінюється хімічний склад води. Найбільшу санітарну небезпеку представляють забруднення органічного походження (залишки овочів, фруктів, злаків, паперу, фізіологічні виділення людей і тварин, залишки м'язових і жирових тканин тварин, клейові речовини, жири). Органічні забруднення стічних вод є сприятливим середовищем для розвитку різноманітних мікроорганізмів і бактерій, які складають так зване біологічне і бактеріальне забруднення стічних вод і зумовлюють їх епідемічну небезпеку. В значній мірі нафтопродукти та аніонних поверхнево-активних речовин (АПАР) поступають в поверхневі водні об'єкти (річки і водосховища) з недостатньо очищеними промисловими стічними водами. Присутність у воді АПАР та нафтопродуктів призводить до зниження вмісту розчиненого у воді кисню за рахунок його витрат на окислення вказаних речовин. АПАР спричинює утворення стійкої піни, яка погіршує аерацію води та гальмує процеси самоочищення. При певних концентраціях АПАР стимулюються розмноження сапрофітних бактерій, кишкової палички. Наявність великої кількості завислих речовин та жирів у </w:t>
      </w:r>
      <w:r w:rsidRPr="00DF4344">
        <w:rPr>
          <w:rFonts w:ascii="Times New Roman" w:hAnsi="Times New Roman" w:cs="Times New Roman"/>
          <w:sz w:val="28"/>
          <w:szCs w:val="28"/>
        </w:rPr>
        <w:lastRenderedPageBreak/>
        <w:t xml:space="preserve">стічних водах призводить до перевантаження пропускної спроможності каналізаційної мережі та очисних споруд. </w:t>
      </w:r>
    </w:p>
    <w:p w14:paraId="41603FFB" w14:textId="62F0D77C" w:rsidR="00966330" w:rsidRDefault="00EF7838" w:rsidP="00C77E47">
      <w:pPr>
        <w:spacing w:after="0"/>
        <w:ind w:firstLine="709"/>
        <w:jc w:val="both"/>
        <w:rPr>
          <w:rFonts w:ascii="Times New Roman" w:hAnsi="Times New Roman" w:cs="Times New Roman"/>
          <w:sz w:val="28"/>
          <w:szCs w:val="28"/>
        </w:rPr>
      </w:pPr>
      <w:r w:rsidRPr="00DF4344">
        <w:rPr>
          <w:rFonts w:ascii="Times New Roman" w:hAnsi="Times New Roman" w:cs="Times New Roman"/>
          <w:sz w:val="28"/>
          <w:szCs w:val="28"/>
        </w:rPr>
        <w:t>Про</w:t>
      </w:r>
      <w:r w:rsidR="006264ED">
        <w:rPr>
          <w:rFonts w:ascii="Times New Roman" w:hAnsi="Times New Roman" w:cs="Times New Roman"/>
          <w:sz w:val="28"/>
          <w:szCs w:val="28"/>
        </w:rPr>
        <w:t>є</w:t>
      </w:r>
      <w:r w:rsidRPr="00DF4344">
        <w:rPr>
          <w:rFonts w:ascii="Times New Roman" w:hAnsi="Times New Roman" w:cs="Times New Roman"/>
          <w:sz w:val="28"/>
          <w:szCs w:val="28"/>
        </w:rPr>
        <w:t xml:space="preserve">кт регуляторного </w:t>
      </w:r>
      <w:proofErr w:type="spellStart"/>
      <w:r w:rsidRPr="00DF4344">
        <w:rPr>
          <w:rFonts w:ascii="Times New Roman" w:hAnsi="Times New Roman" w:cs="Times New Roman"/>
          <w:sz w:val="28"/>
          <w:szCs w:val="28"/>
        </w:rPr>
        <w:t>акта</w:t>
      </w:r>
      <w:proofErr w:type="spellEnd"/>
      <w:r w:rsidRPr="00DF4344">
        <w:rPr>
          <w:rFonts w:ascii="Times New Roman" w:hAnsi="Times New Roman" w:cs="Times New Roman"/>
          <w:sz w:val="28"/>
          <w:szCs w:val="28"/>
        </w:rPr>
        <w:t xml:space="preserve"> розроблено з метою удосконалення правових та економічних засад діяльності у сфері централізованого водовідведення </w:t>
      </w:r>
      <w:r w:rsidR="0080737E" w:rsidRPr="00DF4344">
        <w:rPr>
          <w:rFonts w:ascii="Times New Roman" w:hAnsi="Times New Roman" w:cs="Times New Roman"/>
          <w:sz w:val="28"/>
          <w:szCs w:val="28"/>
        </w:rPr>
        <w:t xml:space="preserve">Бучанської </w:t>
      </w:r>
      <w:r w:rsidRPr="00DF4344">
        <w:rPr>
          <w:rFonts w:ascii="Times New Roman" w:hAnsi="Times New Roman" w:cs="Times New Roman"/>
          <w:sz w:val="28"/>
          <w:szCs w:val="28"/>
        </w:rPr>
        <w:t xml:space="preserve">міської територіальної громади - одній з найважливіших сфер для забезпечення життєдіяльності населення та недопущення забруднення навколишнього природного середовища внаслідок неупорядкованого відведення стічних вод від промислових підприємств та об’єктів господарської діяльності. </w:t>
      </w:r>
    </w:p>
    <w:p w14:paraId="2828A01A" w14:textId="243B0A64" w:rsidR="00DF4344" w:rsidRPr="00DF4344" w:rsidRDefault="00EF7838" w:rsidP="006264ED">
      <w:pPr>
        <w:spacing w:after="0"/>
        <w:ind w:firstLine="709"/>
        <w:jc w:val="both"/>
        <w:rPr>
          <w:rFonts w:ascii="Times New Roman" w:hAnsi="Times New Roman" w:cs="Times New Roman"/>
          <w:sz w:val="28"/>
          <w:szCs w:val="28"/>
        </w:rPr>
      </w:pPr>
      <w:r w:rsidRPr="00DF4344">
        <w:rPr>
          <w:rFonts w:ascii="Times New Roman" w:hAnsi="Times New Roman" w:cs="Times New Roman"/>
          <w:sz w:val="28"/>
          <w:szCs w:val="28"/>
        </w:rPr>
        <w:t>Завданням про</w:t>
      </w:r>
      <w:r w:rsidR="006264ED">
        <w:rPr>
          <w:rFonts w:ascii="Times New Roman" w:hAnsi="Times New Roman" w:cs="Times New Roman"/>
          <w:sz w:val="28"/>
          <w:szCs w:val="28"/>
        </w:rPr>
        <w:t>є</w:t>
      </w:r>
      <w:r w:rsidRPr="00DF4344">
        <w:rPr>
          <w:rFonts w:ascii="Times New Roman" w:hAnsi="Times New Roman" w:cs="Times New Roman"/>
          <w:sz w:val="28"/>
          <w:szCs w:val="28"/>
        </w:rPr>
        <w:t xml:space="preserve">кту рішення виконавчого комітету </w:t>
      </w:r>
      <w:r w:rsidR="0080737E" w:rsidRPr="00DF4344">
        <w:rPr>
          <w:rFonts w:ascii="Times New Roman" w:hAnsi="Times New Roman" w:cs="Times New Roman"/>
          <w:sz w:val="28"/>
          <w:szCs w:val="28"/>
        </w:rPr>
        <w:t xml:space="preserve">Бучанської </w:t>
      </w:r>
      <w:r w:rsidRPr="00DF4344">
        <w:rPr>
          <w:rFonts w:ascii="Times New Roman" w:hAnsi="Times New Roman" w:cs="Times New Roman"/>
          <w:sz w:val="28"/>
          <w:szCs w:val="28"/>
        </w:rPr>
        <w:t xml:space="preserve">міської ради є встановлення споживачам нормативів скиду стічних вод, спрямовані на запобігання порушення у роботі мереж і споруд каналізації, підвищення ефективності роботи цих споруд і безпеки їх експлуатації та забезпечення охорони навколишнього природного середовища від забруднення скидами стічних вод споживачами. Серед основних завдань є удосконалення базової термінології, забезпечення виконання зобов’язань та реалізації прав учасників правовідносин у сфері централізованого водовідведення, реалізація принципів державної політики щодо додержання єдиних правил, норм і стандартів усіма суб'єктами відносин у сфері питного водопостачання та водовідведення, невідворотності відповідальності у разі порушення законодавства. До 21 травня 2017 року приймання стічних вод від підприємств, установ, організацій до системи централізованого водовідведення здійснювалось відповідно до </w:t>
      </w:r>
      <w:r w:rsidR="00DF4344" w:rsidRPr="00DF4344">
        <w:rPr>
          <w:rFonts w:ascii="Times New Roman" w:hAnsi="Times New Roman" w:cs="Times New Roman"/>
          <w:sz w:val="28"/>
          <w:szCs w:val="28"/>
        </w:rPr>
        <w:t>«</w:t>
      </w:r>
      <w:r w:rsidRPr="00DF4344">
        <w:rPr>
          <w:rFonts w:ascii="Times New Roman" w:hAnsi="Times New Roman" w:cs="Times New Roman"/>
          <w:sz w:val="28"/>
          <w:szCs w:val="28"/>
        </w:rPr>
        <w:t>Правил приймання стічних вод підприємств у комунальні та відомчі системи каналізації населених пунктів України</w:t>
      </w:r>
      <w:r w:rsidR="00DF4344" w:rsidRPr="00DF4344">
        <w:rPr>
          <w:rFonts w:ascii="Times New Roman" w:hAnsi="Times New Roman" w:cs="Times New Roman"/>
          <w:sz w:val="28"/>
          <w:szCs w:val="28"/>
        </w:rPr>
        <w:t>»</w:t>
      </w:r>
      <w:r w:rsidRPr="00DF4344">
        <w:rPr>
          <w:rFonts w:ascii="Times New Roman" w:hAnsi="Times New Roman" w:cs="Times New Roman"/>
          <w:sz w:val="28"/>
          <w:szCs w:val="28"/>
        </w:rPr>
        <w:t xml:space="preserve">, затверджених наказом Держбуду від 19.02.2002 р. № 37, зареєстрованих в Мін'юсті 26.04.2002 за № 403/6691 (далі – Правила). Пунктом 8 розпорядження Кабінету Міністрів України «Про скасування деяких наказів міністерств та інших центральних органів виконавчої влади» від 10.03.2017 № 166 зазначені Правила скасовані. Після скасування існуючих державних Правил втрачено правові підстави для існування місцевих правил приймання стічних вод у систему каналізації населеного пункту, у яких установлюються допустимі концентрації для кожної забруднюючої речовини, що можуть скидатися суб’єктами господарювання в систему каналізації, а також відображаються місцеві особливості приймання стічних вод у міську каналізацію. Наказом Міністерства регіонального розвитку, будівництва та житлово-комунального господарства України від 01.12.2017 № 316 та зареєстрованим в Міністерстві юстиції України від 15.01.2018 за № 56/31508 затверджено Правила приймання стічних вод до систем централізованого водовідведення та Порядок визначення розміру плати, що справляється за понаднормативні скиди стічних вод до систем централізованого водовідведення. Відповідно до статті 13-1 Закону України «Про питну воду, питне водопостачання та водовідведення» місцеві правила розробляються на підставі та з урахуванням вимог правил приймання стічних </w:t>
      </w:r>
      <w:r w:rsidRPr="00DF4344">
        <w:rPr>
          <w:rFonts w:ascii="Times New Roman" w:hAnsi="Times New Roman" w:cs="Times New Roman"/>
          <w:sz w:val="28"/>
          <w:szCs w:val="28"/>
        </w:rPr>
        <w:lastRenderedPageBreak/>
        <w:t xml:space="preserve">вод та порядку визначення розміру плати, що справляється за понаднормативні скиди стічних вод до систем централізованого водовідведення, затверджених центральним органом виконавчої влади. Проблема, яку пропонується врегулювати в результаті прийняття регуляторного </w:t>
      </w:r>
      <w:proofErr w:type="spellStart"/>
      <w:r w:rsidRPr="00DF4344">
        <w:rPr>
          <w:rFonts w:ascii="Times New Roman" w:hAnsi="Times New Roman" w:cs="Times New Roman"/>
          <w:sz w:val="28"/>
          <w:szCs w:val="28"/>
        </w:rPr>
        <w:t>акта</w:t>
      </w:r>
      <w:proofErr w:type="spellEnd"/>
      <w:r w:rsidRPr="00DF4344">
        <w:rPr>
          <w:rFonts w:ascii="Times New Roman" w:hAnsi="Times New Roman" w:cs="Times New Roman"/>
          <w:sz w:val="28"/>
          <w:szCs w:val="28"/>
        </w:rPr>
        <w:t>, не може бути вирішена ринковими механізмами внаслідок безвідповідального перевищення вимог щодо режиму, кількісного та якісного складу стічних вод, які споживач скидає до системи централізованого водовідведення</w:t>
      </w:r>
      <w:r w:rsidR="00DF4344" w:rsidRPr="00DF4344">
        <w:rPr>
          <w:rFonts w:ascii="Times New Roman" w:hAnsi="Times New Roman" w:cs="Times New Roman"/>
          <w:sz w:val="28"/>
          <w:szCs w:val="28"/>
        </w:rPr>
        <w:t>.</w:t>
      </w:r>
    </w:p>
    <w:p w14:paraId="3992C8BB" w14:textId="77777777" w:rsidR="00DF4344" w:rsidRPr="00DF4344" w:rsidRDefault="00DF4344" w:rsidP="00572698">
      <w:pPr>
        <w:pStyle w:val="a4"/>
        <w:tabs>
          <w:tab w:val="left" w:pos="0"/>
        </w:tabs>
        <w:ind w:firstLine="709"/>
        <w:jc w:val="both"/>
        <w:rPr>
          <w:sz w:val="28"/>
          <w:szCs w:val="28"/>
        </w:rPr>
      </w:pPr>
      <w:r w:rsidRPr="00DF4344">
        <w:rPr>
          <w:sz w:val="28"/>
          <w:szCs w:val="28"/>
          <w:lang w:eastAsia="ru-RU"/>
        </w:rPr>
        <w:t xml:space="preserve">Дана проблема </w:t>
      </w:r>
      <w:r w:rsidR="00C77E47">
        <w:rPr>
          <w:sz w:val="28"/>
          <w:szCs w:val="28"/>
          <w:lang w:eastAsia="ru-RU"/>
        </w:rPr>
        <w:t xml:space="preserve">також </w:t>
      </w:r>
      <w:r w:rsidRPr="00DF4344">
        <w:rPr>
          <w:sz w:val="28"/>
          <w:szCs w:val="28"/>
          <w:lang w:eastAsia="ru-RU"/>
        </w:rPr>
        <w:t xml:space="preserve">не може бути розв’язана за допомогою діючих регуляторних актів в зв’язку з тим, що п. 4 </w:t>
      </w:r>
      <w:r w:rsidRPr="00DF4344">
        <w:rPr>
          <w:sz w:val="28"/>
          <w:szCs w:val="28"/>
        </w:rPr>
        <w:t>Правил приймання стічних вод до систем централізованого водовідведення, затверджених Наказом Міністерства регіонального розвитку, будівництва та житлово-комунального господарства України 01.12.2017 № 316 передбачено, що на підставі цих Правил виробник розробляє місцеві Правила приймання, в яких враховують місцеві особливості приймання та очищення стічних вод, а також визначають ДК забруднюючих речовин, що можуть скидати до системи централізованого водовідведення.</w:t>
      </w:r>
    </w:p>
    <w:p w14:paraId="4F2B8C1E" w14:textId="77777777" w:rsidR="00DF4344" w:rsidRPr="00DF4344" w:rsidRDefault="00DF4344" w:rsidP="00572698">
      <w:pPr>
        <w:pStyle w:val="a4"/>
        <w:ind w:firstLine="709"/>
        <w:jc w:val="both"/>
        <w:rPr>
          <w:sz w:val="28"/>
          <w:szCs w:val="28"/>
          <w:lang w:eastAsia="ru-RU"/>
        </w:rPr>
      </w:pPr>
      <w:r w:rsidRPr="00DF4344">
        <w:rPr>
          <w:sz w:val="28"/>
          <w:szCs w:val="28"/>
        </w:rPr>
        <w:t>Місцеві правила приймання затверджуються органами місцевого самоврядування та є обов’язковими для виробників та споживачів.</w:t>
      </w:r>
    </w:p>
    <w:p w14:paraId="54AB411A" w14:textId="33C4CAE8" w:rsidR="00730EE0" w:rsidRPr="00DF4344" w:rsidRDefault="00966330" w:rsidP="00572698">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У </w:t>
      </w:r>
      <w:r w:rsidR="005F0F79">
        <w:rPr>
          <w:rFonts w:ascii="Times New Roman" w:hAnsi="Times New Roman" w:cs="Times New Roman"/>
          <w:sz w:val="28"/>
          <w:szCs w:val="28"/>
        </w:rPr>
        <w:t>зв’язку</w:t>
      </w:r>
      <w:r>
        <w:rPr>
          <w:rFonts w:ascii="Times New Roman" w:hAnsi="Times New Roman" w:cs="Times New Roman"/>
          <w:sz w:val="28"/>
          <w:szCs w:val="28"/>
        </w:rPr>
        <w:t xml:space="preserve"> з чим,</w:t>
      </w:r>
      <w:r w:rsidR="00EF7838" w:rsidRPr="00DF4344">
        <w:rPr>
          <w:rFonts w:ascii="Times New Roman" w:hAnsi="Times New Roman" w:cs="Times New Roman"/>
          <w:sz w:val="28"/>
          <w:szCs w:val="28"/>
        </w:rPr>
        <w:t xml:space="preserve"> виникла нагальна необхідність виконавчому комітету </w:t>
      </w:r>
      <w:r w:rsidR="00DF4344" w:rsidRPr="00DF4344">
        <w:rPr>
          <w:rFonts w:ascii="Times New Roman" w:hAnsi="Times New Roman" w:cs="Times New Roman"/>
          <w:sz w:val="28"/>
          <w:szCs w:val="28"/>
        </w:rPr>
        <w:t>Бучанської</w:t>
      </w:r>
      <w:r w:rsidR="00EF7838" w:rsidRPr="00DF4344">
        <w:rPr>
          <w:rFonts w:ascii="Times New Roman" w:hAnsi="Times New Roman" w:cs="Times New Roman"/>
          <w:sz w:val="28"/>
          <w:szCs w:val="28"/>
        </w:rPr>
        <w:t xml:space="preserve"> міської ради прийняти рішення, яким визначається реалізація прав, обов’язків учасників правовідносин і відповідальність за порушення законодавства у сфері централізованого водовідведення. </w:t>
      </w:r>
    </w:p>
    <w:p w14:paraId="48ED52FE" w14:textId="77777777" w:rsidR="00DF4344" w:rsidRPr="00DF4344" w:rsidRDefault="00DF4344" w:rsidP="00DF4344">
      <w:pPr>
        <w:pStyle w:val="a4"/>
        <w:ind w:firstLine="709"/>
        <w:jc w:val="both"/>
        <w:rPr>
          <w:sz w:val="28"/>
          <w:szCs w:val="28"/>
          <w:lang w:eastAsia="ru-RU"/>
        </w:rPr>
      </w:pPr>
      <w:r w:rsidRPr="00DF4344">
        <w:rPr>
          <w:sz w:val="28"/>
          <w:szCs w:val="28"/>
          <w:lang w:eastAsia="ru-RU"/>
        </w:rPr>
        <w:t>Основні групи (підгрупи), на які проблема справляє вплив:</w:t>
      </w:r>
    </w:p>
    <w:p w14:paraId="5395BE3A" w14:textId="77777777" w:rsidR="00DF4344" w:rsidRPr="00DF4344" w:rsidRDefault="00DF4344" w:rsidP="00DF4344">
      <w:pPr>
        <w:pStyle w:val="a4"/>
        <w:ind w:firstLine="709"/>
        <w:jc w:val="both"/>
        <w:rPr>
          <w:sz w:val="28"/>
          <w:szCs w:val="28"/>
          <w:lang w:eastAsia="ru-RU"/>
        </w:rPr>
      </w:pP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799"/>
        <w:gridCol w:w="1277"/>
        <w:gridCol w:w="1248"/>
      </w:tblGrid>
      <w:tr w:rsidR="00DF4344" w:rsidRPr="005F0F79" w14:paraId="61F59830" w14:textId="77777777" w:rsidTr="003056B9">
        <w:trPr>
          <w:trHeight w:val="389"/>
          <w:jc w:val="center"/>
        </w:trPr>
        <w:tc>
          <w:tcPr>
            <w:tcW w:w="3646" w:type="pct"/>
            <w:tcBorders>
              <w:top w:val="single" w:sz="4" w:space="0" w:color="auto"/>
              <w:left w:val="single" w:sz="4" w:space="0" w:color="auto"/>
              <w:bottom w:val="single" w:sz="4" w:space="0" w:color="auto"/>
              <w:right w:val="single" w:sz="4" w:space="0" w:color="auto"/>
            </w:tcBorders>
            <w:hideMark/>
          </w:tcPr>
          <w:p w14:paraId="32AF9CC0" w14:textId="77777777" w:rsidR="00DF4344" w:rsidRPr="00D36920" w:rsidRDefault="00DF4344" w:rsidP="00DF4344">
            <w:pPr>
              <w:pStyle w:val="a4"/>
              <w:ind w:firstLine="709"/>
              <w:jc w:val="both"/>
              <w:rPr>
                <w:b/>
                <w:bCs/>
                <w:i/>
                <w:iCs/>
                <w:sz w:val="26"/>
                <w:szCs w:val="26"/>
                <w:lang w:val="ru-RU" w:eastAsia="ru-RU"/>
              </w:rPr>
            </w:pPr>
            <w:r w:rsidRPr="00D36920">
              <w:rPr>
                <w:b/>
                <w:bCs/>
                <w:i/>
                <w:iCs/>
                <w:sz w:val="26"/>
                <w:szCs w:val="26"/>
                <w:lang w:val="ru-RU" w:eastAsia="ru-RU"/>
              </w:rPr>
              <w:t>Групи (</w:t>
            </w:r>
            <w:proofErr w:type="spellStart"/>
            <w:r w:rsidRPr="00D36920">
              <w:rPr>
                <w:b/>
                <w:bCs/>
                <w:i/>
                <w:iCs/>
                <w:sz w:val="26"/>
                <w:szCs w:val="26"/>
                <w:lang w:val="ru-RU" w:eastAsia="ru-RU"/>
              </w:rPr>
              <w:t>підгрупи</w:t>
            </w:r>
            <w:proofErr w:type="spellEnd"/>
            <w:r w:rsidRPr="00D36920">
              <w:rPr>
                <w:b/>
                <w:bCs/>
                <w:i/>
                <w:iCs/>
                <w:sz w:val="26"/>
                <w:szCs w:val="26"/>
                <w:lang w:val="ru-RU" w:eastAsia="ru-RU"/>
              </w:rPr>
              <w:t>)</w:t>
            </w:r>
          </w:p>
        </w:tc>
        <w:tc>
          <w:tcPr>
            <w:tcW w:w="685" w:type="pct"/>
            <w:tcBorders>
              <w:top w:val="single" w:sz="4" w:space="0" w:color="auto"/>
              <w:left w:val="single" w:sz="4" w:space="0" w:color="auto"/>
              <w:bottom w:val="single" w:sz="4" w:space="0" w:color="auto"/>
              <w:right w:val="single" w:sz="4" w:space="0" w:color="auto"/>
            </w:tcBorders>
            <w:hideMark/>
          </w:tcPr>
          <w:p w14:paraId="161D37E3" w14:textId="77777777" w:rsidR="00DF4344" w:rsidRPr="00D36920" w:rsidRDefault="00DF4344" w:rsidP="00DF4344">
            <w:pPr>
              <w:pStyle w:val="a4"/>
              <w:ind w:firstLine="709"/>
              <w:jc w:val="both"/>
              <w:rPr>
                <w:b/>
                <w:bCs/>
                <w:i/>
                <w:iCs/>
                <w:sz w:val="26"/>
                <w:szCs w:val="26"/>
                <w:lang w:val="ru-RU" w:eastAsia="ru-RU"/>
              </w:rPr>
            </w:pPr>
            <w:r w:rsidRPr="00D36920">
              <w:rPr>
                <w:b/>
                <w:bCs/>
                <w:i/>
                <w:iCs/>
                <w:sz w:val="26"/>
                <w:szCs w:val="26"/>
                <w:lang w:val="ru-RU" w:eastAsia="ru-RU"/>
              </w:rPr>
              <w:t>Так</w:t>
            </w:r>
          </w:p>
        </w:tc>
        <w:tc>
          <w:tcPr>
            <w:tcW w:w="669" w:type="pct"/>
            <w:tcBorders>
              <w:top w:val="single" w:sz="4" w:space="0" w:color="auto"/>
              <w:left w:val="single" w:sz="4" w:space="0" w:color="auto"/>
              <w:bottom w:val="single" w:sz="4" w:space="0" w:color="auto"/>
              <w:right w:val="single" w:sz="4" w:space="0" w:color="auto"/>
            </w:tcBorders>
            <w:hideMark/>
          </w:tcPr>
          <w:p w14:paraId="79F5B389" w14:textId="77777777" w:rsidR="00DF4344" w:rsidRPr="00D36920" w:rsidRDefault="00DF4344" w:rsidP="00DF4344">
            <w:pPr>
              <w:pStyle w:val="a4"/>
              <w:ind w:firstLine="709"/>
              <w:jc w:val="both"/>
              <w:rPr>
                <w:b/>
                <w:bCs/>
                <w:i/>
                <w:iCs/>
                <w:sz w:val="26"/>
                <w:szCs w:val="26"/>
                <w:lang w:val="ru-RU" w:eastAsia="ru-RU"/>
              </w:rPr>
            </w:pPr>
            <w:proofErr w:type="spellStart"/>
            <w:r w:rsidRPr="00D36920">
              <w:rPr>
                <w:b/>
                <w:bCs/>
                <w:i/>
                <w:iCs/>
                <w:sz w:val="26"/>
                <w:szCs w:val="26"/>
                <w:lang w:val="ru-RU" w:eastAsia="ru-RU"/>
              </w:rPr>
              <w:t>Ні</w:t>
            </w:r>
            <w:proofErr w:type="spellEnd"/>
          </w:p>
        </w:tc>
      </w:tr>
      <w:tr w:rsidR="00DF4344" w:rsidRPr="00DF4344" w14:paraId="4FD451C6" w14:textId="77777777" w:rsidTr="003056B9">
        <w:trPr>
          <w:trHeight w:val="383"/>
          <w:jc w:val="center"/>
        </w:trPr>
        <w:tc>
          <w:tcPr>
            <w:tcW w:w="3646" w:type="pct"/>
            <w:tcBorders>
              <w:top w:val="single" w:sz="4" w:space="0" w:color="auto"/>
              <w:left w:val="single" w:sz="4" w:space="0" w:color="auto"/>
              <w:bottom w:val="single" w:sz="4" w:space="0" w:color="auto"/>
              <w:right w:val="single" w:sz="4" w:space="0" w:color="auto"/>
            </w:tcBorders>
            <w:hideMark/>
          </w:tcPr>
          <w:p w14:paraId="25DC4860" w14:textId="77777777" w:rsidR="00DF4344" w:rsidRPr="00D36920" w:rsidRDefault="00DF4344" w:rsidP="00DF4344">
            <w:pPr>
              <w:pStyle w:val="a4"/>
              <w:ind w:firstLine="709"/>
              <w:jc w:val="both"/>
              <w:rPr>
                <w:sz w:val="26"/>
                <w:szCs w:val="26"/>
                <w:lang w:val="ru-RU" w:eastAsia="ru-RU"/>
              </w:rPr>
            </w:pPr>
            <w:proofErr w:type="spellStart"/>
            <w:r w:rsidRPr="00D36920">
              <w:rPr>
                <w:sz w:val="26"/>
                <w:szCs w:val="26"/>
                <w:lang w:val="ru-RU" w:eastAsia="ru-RU"/>
              </w:rPr>
              <w:t>Громадяни</w:t>
            </w:r>
            <w:proofErr w:type="spellEnd"/>
          </w:p>
        </w:tc>
        <w:tc>
          <w:tcPr>
            <w:tcW w:w="685" w:type="pct"/>
            <w:tcBorders>
              <w:top w:val="single" w:sz="4" w:space="0" w:color="auto"/>
              <w:left w:val="single" w:sz="4" w:space="0" w:color="auto"/>
              <w:bottom w:val="single" w:sz="4" w:space="0" w:color="auto"/>
              <w:right w:val="single" w:sz="4" w:space="0" w:color="auto"/>
            </w:tcBorders>
            <w:hideMark/>
          </w:tcPr>
          <w:p w14:paraId="0ED143AD" w14:textId="77777777" w:rsidR="00DF4344" w:rsidRPr="00D36920" w:rsidRDefault="00DF4344" w:rsidP="00DF4344">
            <w:pPr>
              <w:pStyle w:val="a4"/>
              <w:ind w:firstLine="709"/>
              <w:jc w:val="both"/>
              <w:rPr>
                <w:sz w:val="26"/>
                <w:szCs w:val="26"/>
                <w:lang w:val="ru-RU" w:eastAsia="ru-RU"/>
              </w:rPr>
            </w:pPr>
            <w:r w:rsidRPr="00D36920">
              <w:rPr>
                <w:sz w:val="26"/>
                <w:szCs w:val="26"/>
                <w:lang w:val="en-US" w:eastAsia="ru-RU"/>
              </w:rPr>
              <w:t>Х</w:t>
            </w:r>
          </w:p>
        </w:tc>
        <w:tc>
          <w:tcPr>
            <w:tcW w:w="669" w:type="pct"/>
            <w:tcBorders>
              <w:top w:val="single" w:sz="4" w:space="0" w:color="auto"/>
              <w:left w:val="single" w:sz="4" w:space="0" w:color="auto"/>
              <w:bottom w:val="single" w:sz="4" w:space="0" w:color="auto"/>
              <w:right w:val="single" w:sz="4" w:space="0" w:color="auto"/>
            </w:tcBorders>
          </w:tcPr>
          <w:p w14:paraId="0D1DEB30" w14:textId="77777777" w:rsidR="00DF4344" w:rsidRPr="00D36920" w:rsidRDefault="00DF4344" w:rsidP="00DF4344">
            <w:pPr>
              <w:pStyle w:val="a4"/>
              <w:ind w:firstLine="709"/>
              <w:jc w:val="both"/>
              <w:rPr>
                <w:sz w:val="26"/>
                <w:szCs w:val="26"/>
                <w:lang w:val="ru-RU" w:eastAsia="ru-RU"/>
              </w:rPr>
            </w:pPr>
          </w:p>
        </w:tc>
      </w:tr>
      <w:tr w:rsidR="00DF4344" w:rsidRPr="00DF4344" w14:paraId="606E8A00" w14:textId="77777777" w:rsidTr="003056B9">
        <w:trPr>
          <w:trHeight w:val="276"/>
          <w:jc w:val="center"/>
        </w:trPr>
        <w:tc>
          <w:tcPr>
            <w:tcW w:w="3646" w:type="pct"/>
            <w:tcBorders>
              <w:top w:val="single" w:sz="4" w:space="0" w:color="auto"/>
              <w:left w:val="single" w:sz="4" w:space="0" w:color="auto"/>
              <w:bottom w:val="single" w:sz="4" w:space="0" w:color="auto"/>
              <w:right w:val="single" w:sz="4" w:space="0" w:color="auto"/>
            </w:tcBorders>
            <w:hideMark/>
          </w:tcPr>
          <w:p w14:paraId="1F5201C2" w14:textId="77777777" w:rsidR="00DF4344" w:rsidRPr="00D36920" w:rsidRDefault="00DF4344" w:rsidP="00DF4344">
            <w:pPr>
              <w:pStyle w:val="a4"/>
              <w:ind w:firstLine="709"/>
              <w:jc w:val="both"/>
              <w:rPr>
                <w:sz w:val="26"/>
                <w:szCs w:val="26"/>
                <w:lang w:val="ru-RU" w:eastAsia="ru-RU"/>
              </w:rPr>
            </w:pPr>
            <w:r w:rsidRPr="00D36920">
              <w:rPr>
                <w:sz w:val="26"/>
                <w:szCs w:val="26"/>
                <w:lang w:val="ru-RU" w:eastAsia="ru-RU"/>
              </w:rPr>
              <w:t>Держава</w:t>
            </w:r>
          </w:p>
        </w:tc>
        <w:tc>
          <w:tcPr>
            <w:tcW w:w="685" w:type="pct"/>
            <w:tcBorders>
              <w:top w:val="single" w:sz="4" w:space="0" w:color="auto"/>
              <w:left w:val="single" w:sz="4" w:space="0" w:color="auto"/>
              <w:bottom w:val="single" w:sz="4" w:space="0" w:color="auto"/>
              <w:right w:val="single" w:sz="4" w:space="0" w:color="auto"/>
            </w:tcBorders>
            <w:hideMark/>
          </w:tcPr>
          <w:p w14:paraId="281A2760" w14:textId="77777777" w:rsidR="00DF4344" w:rsidRPr="00D36920" w:rsidRDefault="00DF4344" w:rsidP="00DF4344">
            <w:pPr>
              <w:pStyle w:val="a4"/>
              <w:ind w:firstLine="709"/>
              <w:jc w:val="both"/>
              <w:rPr>
                <w:sz w:val="26"/>
                <w:szCs w:val="26"/>
                <w:lang w:val="ru-RU" w:eastAsia="ru-RU"/>
              </w:rPr>
            </w:pPr>
            <w:r w:rsidRPr="00D36920">
              <w:rPr>
                <w:sz w:val="26"/>
                <w:szCs w:val="26"/>
                <w:lang w:val="ru-RU" w:eastAsia="ru-RU"/>
              </w:rPr>
              <w:t>Х</w:t>
            </w:r>
          </w:p>
        </w:tc>
        <w:tc>
          <w:tcPr>
            <w:tcW w:w="669" w:type="pct"/>
            <w:tcBorders>
              <w:top w:val="single" w:sz="4" w:space="0" w:color="auto"/>
              <w:left w:val="single" w:sz="4" w:space="0" w:color="auto"/>
              <w:bottom w:val="single" w:sz="4" w:space="0" w:color="auto"/>
              <w:right w:val="single" w:sz="4" w:space="0" w:color="auto"/>
            </w:tcBorders>
          </w:tcPr>
          <w:p w14:paraId="0E6554B0" w14:textId="77777777" w:rsidR="00DF4344" w:rsidRPr="00D36920" w:rsidRDefault="00DF4344" w:rsidP="00DF4344">
            <w:pPr>
              <w:pStyle w:val="a4"/>
              <w:ind w:firstLine="709"/>
              <w:jc w:val="both"/>
              <w:rPr>
                <w:sz w:val="26"/>
                <w:szCs w:val="26"/>
                <w:lang w:val="ru-RU" w:eastAsia="ru-RU"/>
              </w:rPr>
            </w:pPr>
          </w:p>
        </w:tc>
      </w:tr>
      <w:tr w:rsidR="00DF4344" w:rsidRPr="00DF4344" w14:paraId="4952FB30" w14:textId="77777777" w:rsidTr="003056B9">
        <w:trPr>
          <w:trHeight w:val="379"/>
          <w:jc w:val="center"/>
        </w:trPr>
        <w:tc>
          <w:tcPr>
            <w:tcW w:w="3646" w:type="pct"/>
            <w:tcBorders>
              <w:top w:val="single" w:sz="4" w:space="0" w:color="auto"/>
              <w:left w:val="single" w:sz="4" w:space="0" w:color="auto"/>
              <w:bottom w:val="single" w:sz="4" w:space="0" w:color="auto"/>
              <w:right w:val="single" w:sz="4" w:space="0" w:color="auto"/>
            </w:tcBorders>
            <w:hideMark/>
          </w:tcPr>
          <w:p w14:paraId="0BB10655" w14:textId="77777777" w:rsidR="00DF4344" w:rsidRPr="00D36920" w:rsidRDefault="00DF4344" w:rsidP="00DF4344">
            <w:pPr>
              <w:pStyle w:val="a4"/>
              <w:ind w:firstLine="709"/>
              <w:jc w:val="both"/>
              <w:rPr>
                <w:sz w:val="26"/>
                <w:szCs w:val="26"/>
                <w:lang w:val="ru-RU" w:eastAsia="ru-RU"/>
              </w:rPr>
            </w:pPr>
            <w:proofErr w:type="spellStart"/>
            <w:r w:rsidRPr="00D36920">
              <w:rPr>
                <w:sz w:val="26"/>
                <w:szCs w:val="26"/>
                <w:lang w:val="ru-RU" w:eastAsia="ru-RU"/>
              </w:rPr>
              <w:t>Суб’єкти</w:t>
            </w:r>
            <w:proofErr w:type="spellEnd"/>
            <w:r w:rsidRPr="00D36920">
              <w:rPr>
                <w:sz w:val="26"/>
                <w:szCs w:val="26"/>
                <w:lang w:val="ru-RU" w:eastAsia="ru-RU"/>
              </w:rPr>
              <w:t xml:space="preserve"> </w:t>
            </w:r>
            <w:proofErr w:type="spellStart"/>
            <w:r w:rsidRPr="00D36920">
              <w:rPr>
                <w:sz w:val="26"/>
                <w:szCs w:val="26"/>
                <w:lang w:val="ru-RU" w:eastAsia="ru-RU"/>
              </w:rPr>
              <w:t>господарювання</w:t>
            </w:r>
            <w:proofErr w:type="spellEnd"/>
            <w:r w:rsidRPr="00D36920">
              <w:rPr>
                <w:sz w:val="26"/>
                <w:szCs w:val="26"/>
                <w:lang w:val="ru-RU" w:eastAsia="ru-RU"/>
              </w:rPr>
              <w:t>,</w:t>
            </w:r>
          </w:p>
        </w:tc>
        <w:tc>
          <w:tcPr>
            <w:tcW w:w="685" w:type="pct"/>
            <w:tcBorders>
              <w:top w:val="single" w:sz="4" w:space="0" w:color="auto"/>
              <w:left w:val="single" w:sz="4" w:space="0" w:color="auto"/>
              <w:bottom w:val="single" w:sz="4" w:space="0" w:color="auto"/>
              <w:right w:val="single" w:sz="4" w:space="0" w:color="auto"/>
            </w:tcBorders>
            <w:hideMark/>
          </w:tcPr>
          <w:p w14:paraId="214CA6AD" w14:textId="77777777" w:rsidR="00DF4344" w:rsidRPr="00D36920" w:rsidRDefault="00DF4344" w:rsidP="00DF4344">
            <w:pPr>
              <w:pStyle w:val="a4"/>
              <w:ind w:firstLine="709"/>
              <w:jc w:val="both"/>
              <w:rPr>
                <w:sz w:val="26"/>
                <w:szCs w:val="26"/>
                <w:lang w:val="ru-RU" w:eastAsia="ru-RU"/>
              </w:rPr>
            </w:pPr>
            <w:r w:rsidRPr="00D36920">
              <w:rPr>
                <w:sz w:val="26"/>
                <w:szCs w:val="26"/>
                <w:lang w:val="ru-RU" w:eastAsia="ru-RU"/>
              </w:rPr>
              <w:t>Х</w:t>
            </w:r>
          </w:p>
        </w:tc>
        <w:tc>
          <w:tcPr>
            <w:tcW w:w="669" w:type="pct"/>
            <w:tcBorders>
              <w:top w:val="single" w:sz="4" w:space="0" w:color="auto"/>
              <w:left w:val="single" w:sz="4" w:space="0" w:color="auto"/>
              <w:bottom w:val="single" w:sz="4" w:space="0" w:color="auto"/>
              <w:right w:val="single" w:sz="4" w:space="0" w:color="auto"/>
            </w:tcBorders>
          </w:tcPr>
          <w:p w14:paraId="14A2EC61" w14:textId="77777777" w:rsidR="00DF4344" w:rsidRPr="00D36920" w:rsidRDefault="00DF4344" w:rsidP="00DF4344">
            <w:pPr>
              <w:pStyle w:val="a4"/>
              <w:ind w:firstLine="709"/>
              <w:jc w:val="both"/>
              <w:rPr>
                <w:sz w:val="26"/>
                <w:szCs w:val="26"/>
                <w:lang w:val="ru-RU" w:eastAsia="ru-RU"/>
              </w:rPr>
            </w:pPr>
          </w:p>
        </w:tc>
      </w:tr>
      <w:tr w:rsidR="00DF4344" w:rsidRPr="00DF4344" w14:paraId="543EC047" w14:textId="77777777" w:rsidTr="003056B9">
        <w:trPr>
          <w:trHeight w:val="400"/>
          <w:jc w:val="center"/>
        </w:trPr>
        <w:tc>
          <w:tcPr>
            <w:tcW w:w="3646" w:type="pct"/>
            <w:tcBorders>
              <w:top w:val="single" w:sz="4" w:space="0" w:color="auto"/>
              <w:left w:val="single" w:sz="4" w:space="0" w:color="auto"/>
              <w:bottom w:val="single" w:sz="4" w:space="0" w:color="auto"/>
              <w:right w:val="single" w:sz="4" w:space="0" w:color="auto"/>
            </w:tcBorders>
            <w:hideMark/>
          </w:tcPr>
          <w:p w14:paraId="0F7B31E3" w14:textId="77777777" w:rsidR="00DF4344" w:rsidRPr="00D36920" w:rsidRDefault="00DF4344" w:rsidP="00DF4344">
            <w:pPr>
              <w:pStyle w:val="a4"/>
              <w:ind w:firstLine="709"/>
              <w:jc w:val="both"/>
              <w:rPr>
                <w:sz w:val="26"/>
                <w:szCs w:val="26"/>
                <w:lang w:val="ru-RU" w:eastAsia="ru-RU"/>
              </w:rPr>
            </w:pPr>
            <w:r w:rsidRPr="00D36920">
              <w:rPr>
                <w:sz w:val="26"/>
                <w:szCs w:val="26"/>
                <w:lang w:val="ru-RU" w:eastAsia="ru-RU"/>
              </w:rPr>
              <w:t xml:space="preserve">у тому </w:t>
            </w:r>
            <w:proofErr w:type="spellStart"/>
            <w:r w:rsidRPr="00D36920">
              <w:rPr>
                <w:sz w:val="26"/>
                <w:szCs w:val="26"/>
                <w:lang w:val="ru-RU" w:eastAsia="ru-RU"/>
              </w:rPr>
              <w:t>числі</w:t>
            </w:r>
            <w:proofErr w:type="spellEnd"/>
            <w:r w:rsidRPr="00D36920">
              <w:rPr>
                <w:sz w:val="26"/>
                <w:szCs w:val="26"/>
                <w:lang w:val="ru-RU" w:eastAsia="ru-RU"/>
              </w:rPr>
              <w:t xml:space="preserve"> </w:t>
            </w:r>
            <w:proofErr w:type="spellStart"/>
            <w:r w:rsidRPr="00D36920">
              <w:rPr>
                <w:sz w:val="26"/>
                <w:szCs w:val="26"/>
                <w:lang w:val="ru-RU" w:eastAsia="ru-RU"/>
              </w:rPr>
              <w:t>суб’єкти</w:t>
            </w:r>
            <w:proofErr w:type="spellEnd"/>
            <w:r w:rsidRPr="00D36920">
              <w:rPr>
                <w:sz w:val="26"/>
                <w:szCs w:val="26"/>
                <w:lang w:val="ru-RU" w:eastAsia="ru-RU"/>
              </w:rPr>
              <w:t xml:space="preserve"> малого </w:t>
            </w:r>
            <w:proofErr w:type="spellStart"/>
            <w:r w:rsidRPr="00D36920">
              <w:rPr>
                <w:sz w:val="26"/>
                <w:szCs w:val="26"/>
                <w:lang w:val="ru-RU" w:eastAsia="ru-RU"/>
              </w:rPr>
              <w:t>підприємництва</w:t>
            </w:r>
            <w:proofErr w:type="spellEnd"/>
            <w:r w:rsidRPr="00D36920">
              <w:rPr>
                <w:sz w:val="26"/>
                <w:szCs w:val="26"/>
                <w:lang w:val="ru-RU" w:eastAsia="ru-RU"/>
              </w:rPr>
              <w:t>*</w:t>
            </w:r>
          </w:p>
        </w:tc>
        <w:tc>
          <w:tcPr>
            <w:tcW w:w="685" w:type="pct"/>
            <w:tcBorders>
              <w:top w:val="single" w:sz="4" w:space="0" w:color="auto"/>
              <w:left w:val="single" w:sz="4" w:space="0" w:color="auto"/>
              <w:bottom w:val="single" w:sz="4" w:space="0" w:color="auto"/>
              <w:right w:val="single" w:sz="4" w:space="0" w:color="auto"/>
            </w:tcBorders>
            <w:hideMark/>
          </w:tcPr>
          <w:p w14:paraId="043595F4" w14:textId="77777777" w:rsidR="00DF4344" w:rsidRPr="00D36920" w:rsidRDefault="00DF4344" w:rsidP="00DF4344">
            <w:pPr>
              <w:pStyle w:val="a4"/>
              <w:ind w:firstLine="709"/>
              <w:jc w:val="both"/>
              <w:rPr>
                <w:iCs/>
                <w:sz w:val="26"/>
                <w:szCs w:val="26"/>
                <w:lang w:val="ru-RU" w:eastAsia="ru-RU"/>
              </w:rPr>
            </w:pPr>
            <w:r w:rsidRPr="00D36920">
              <w:rPr>
                <w:iCs/>
                <w:sz w:val="26"/>
                <w:szCs w:val="26"/>
                <w:lang w:val="ru-RU" w:eastAsia="ru-RU"/>
              </w:rPr>
              <w:t>Х</w:t>
            </w:r>
          </w:p>
        </w:tc>
        <w:tc>
          <w:tcPr>
            <w:tcW w:w="669" w:type="pct"/>
            <w:tcBorders>
              <w:top w:val="single" w:sz="4" w:space="0" w:color="auto"/>
              <w:left w:val="single" w:sz="4" w:space="0" w:color="auto"/>
              <w:bottom w:val="single" w:sz="4" w:space="0" w:color="auto"/>
              <w:right w:val="single" w:sz="4" w:space="0" w:color="auto"/>
            </w:tcBorders>
          </w:tcPr>
          <w:p w14:paraId="16C665DE" w14:textId="77777777" w:rsidR="00DF4344" w:rsidRPr="00D36920" w:rsidRDefault="00DF4344" w:rsidP="00DF4344">
            <w:pPr>
              <w:pStyle w:val="a4"/>
              <w:ind w:firstLine="709"/>
              <w:jc w:val="both"/>
              <w:rPr>
                <w:sz w:val="26"/>
                <w:szCs w:val="26"/>
                <w:lang w:val="ru-RU" w:eastAsia="ru-RU"/>
              </w:rPr>
            </w:pPr>
          </w:p>
        </w:tc>
      </w:tr>
    </w:tbl>
    <w:p w14:paraId="06633A57" w14:textId="77777777" w:rsidR="00962603" w:rsidRDefault="00962603" w:rsidP="00AB1C20">
      <w:pPr>
        <w:jc w:val="both"/>
        <w:rPr>
          <w:rFonts w:ascii="Times New Roman" w:hAnsi="Times New Roman" w:cs="Times New Roman"/>
          <w:sz w:val="28"/>
          <w:szCs w:val="28"/>
        </w:rPr>
      </w:pPr>
    </w:p>
    <w:p w14:paraId="27C1C737" w14:textId="410501D0" w:rsidR="00962603" w:rsidRPr="00962603" w:rsidRDefault="00962603" w:rsidP="003056B9">
      <w:pPr>
        <w:spacing w:after="0" w:line="240" w:lineRule="auto"/>
        <w:ind w:firstLine="567"/>
        <w:jc w:val="center"/>
        <w:rPr>
          <w:rFonts w:ascii="Times New Roman" w:hAnsi="Times New Roman" w:cs="Times New Roman"/>
          <w:b/>
          <w:bCs/>
          <w:sz w:val="28"/>
          <w:szCs w:val="28"/>
        </w:rPr>
      </w:pPr>
      <w:r w:rsidRPr="00962603">
        <w:rPr>
          <w:rFonts w:ascii="Times New Roman" w:hAnsi="Times New Roman" w:cs="Times New Roman"/>
          <w:b/>
          <w:bCs/>
          <w:sz w:val="28"/>
          <w:szCs w:val="28"/>
        </w:rPr>
        <w:t>2. Цілі державного регулювання.</w:t>
      </w:r>
    </w:p>
    <w:p w14:paraId="500457E1" w14:textId="77777777" w:rsidR="00DF4344" w:rsidRPr="00962603" w:rsidRDefault="00962603" w:rsidP="005F0F79">
      <w:pPr>
        <w:spacing w:after="0" w:line="240" w:lineRule="auto"/>
        <w:ind w:firstLine="567"/>
        <w:jc w:val="both"/>
        <w:rPr>
          <w:rFonts w:ascii="Times New Roman" w:hAnsi="Times New Roman" w:cs="Times New Roman"/>
          <w:sz w:val="28"/>
          <w:szCs w:val="28"/>
        </w:rPr>
      </w:pPr>
      <w:r w:rsidRPr="00962603">
        <w:rPr>
          <w:rFonts w:ascii="Times New Roman" w:hAnsi="Times New Roman" w:cs="Times New Roman"/>
          <w:sz w:val="28"/>
          <w:szCs w:val="28"/>
        </w:rPr>
        <w:t>Необхідність затвердження Правил приймання стічних вод до систем централізованого водовідведення Вишневої міської територіальної громади зумовлена змінами до Закону України «Про питну воду, питне водопостачання та водовідведення», внесеними Законом України від 18.05.2017 № 2047-VIII.</w:t>
      </w:r>
    </w:p>
    <w:p w14:paraId="51AC36D7" w14:textId="77777777" w:rsidR="00962603" w:rsidRPr="00962603" w:rsidRDefault="00962603" w:rsidP="005F0F79">
      <w:pPr>
        <w:spacing w:after="0" w:line="240" w:lineRule="auto"/>
        <w:ind w:firstLine="567"/>
        <w:jc w:val="both"/>
        <w:rPr>
          <w:rFonts w:ascii="Times New Roman" w:hAnsi="Times New Roman" w:cs="Times New Roman"/>
          <w:sz w:val="28"/>
          <w:szCs w:val="28"/>
        </w:rPr>
      </w:pPr>
      <w:r w:rsidRPr="00962603">
        <w:rPr>
          <w:rFonts w:ascii="Times New Roman" w:hAnsi="Times New Roman" w:cs="Times New Roman"/>
          <w:sz w:val="28"/>
          <w:szCs w:val="28"/>
        </w:rPr>
        <w:t xml:space="preserve">Цілями державного регулювання є запобігання порушенням у роботі </w:t>
      </w:r>
      <w:r w:rsidRPr="00962603">
        <w:rPr>
          <w:rFonts w:ascii="Times New Roman" w:hAnsi="Times New Roman" w:cs="Times New Roman"/>
          <w:bCs/>
          <w:sz w:val="28"/>
          <w:szCs w:val="28"/>
        </w:rPr>
        <w:t>системи централізованого водовідведення</w:t>
      </w:r>
      <w:r w:rsidRPr="00962603">
        <w:rPr>
          <w:rFonts w:ascii="Times New Roman" w:hAnsi="Times New Roman" w:cs="Times New Roman"/>
          <w:sz w:val="28"/>
          <w:szCs w:val="28"/>
        </w:rPr>
        <w:t>, підвищення ефективності роботи системи і безпеки її експлуатації та забезпечення охорони навколишнього природного середовища від забруднення скидами стічних вод підприємств та житлового сектору за рахунок:</w:t>
      </w:r>
    </w:p>
    <w:p w14:paraId="56C0C9B8" w14:textId="77777777" w:rsidR="00962603" w:rsidRPr="00962603" w:rsidRDefault="00962603" w:rsidP="005F0F79">
      <w:pPr>
        <w:pStyle w:val="a4"/>
        <w:ind w:firstLine="567"/>
        <w:jc w:val="both"/>
        <w:rPr>
          <w:sz w:val="28"/>
          <w:szCs w:val="28"/>
        </w:rPr>
      </w:pPr>
      <w:r w:rsidRPr="00962603">
        <w:rPr>
          <w:sz w:val="28"/>
          <w:szCs w:val="28"/>
        </w:rPr>
        <w:t xml:space="preserve">- забезпечення безаварійної роботи </w:t>
      </w:r>
      <w:r w:rsidRPr="00962603">
        <w:rPr>
          <w:bCs/>
          <w:sz w:val="28"/>
          <w:szCs w:val="28"/>
        </w:rPr>
        <w:t>системи централізованого водовідведення</w:t>
      </w:r>
      <w:r w:rsidRPr="00962603">
        <w:rPr>
          <w:sz w:val="28"/>
          <w:szCs w:val="28"/>
        </w:rPr>
        <w:t xml:space="preserve"> (запобігання замулювання, утворенню жирових наростів в </w:t>
      </w:r>
      <w:r w:rsidRPr="00962603">
        <w:rPr>
          <w:sz w:val="28"/>
          <w:szCs w:val="28"/>
        </w:rPr>
        <w:lastRenderedPageBreak/>
        <w:t>трубопроводах, закупорки трубопроводів, також агресивного впливу на матеріал труб, колодязів, устаткування);</w:t>
      </w:r>
    </w:p>
    <w:p w14:paraId="3D077C19" w14:textId="77777777" w:rsidR="00962603" w:rsidRPr="00962603" w:rsidRDefault="00962603" w:rsidP="005F0F79">
      <w:pPr>
        <w:pStyle w:val="a4"/>
        <w:ind w:firstLine="567"/>
        <w:jc w:val="both"/>
        <w:rPr>
          <w:sz w:val="28"/>
          <w:szCs w:val="28"/>
        </w:rPr>
      </w:pPr>
      <w:r w:rsidRPr="00962603">
        <w:rPr>
          <w:sz w:val="28"/>
          <w:szCs w:val="28"/>
        </w:rPr>
        <w:t>- забезпечення екологічної безпеки.</w:t>
      </w:r>
    </w:p>
    <w:p w14:paraId="6330A645" w14:textId="77777777" w:rsidR="00962603" w:rsidRPr="00962603" w:rsidRDefault="00962603" w:rsidP="005F0F79">
      <w:pPr>
        <w:pStyle w:val="a4"/>
        <w:ind w:firstLine="567"/>
        <w:jc w:val="both"/>
        <w:rPr>
          <w:sz w:val="28"/>
          <w:szCs w:val="28"/>
        </w:rPr>
      </w:pPr>
      <w:r w:rsidRPr="00962603">
        <w:rPr>
          <w:sz w:val="28"/>
          <w:szCs w:val="28"/>
        </w:rPr>
        <w:t>Правилами встановлюються:</w:t>
      </w:r>
    </w:p>
    <w:p w14:paraId="5C678114" w14:textId="77777777" w:rsidR="00962603" w:rsidRPr="00962603" w:rsidRDefault="00962603" w:rsidP="005F0F79">
      <w:pPr>
        <w:pStyle w:val="a4"/>
        <w:ind w:firstLine="567"/>
        <w:jc w:val="both"/>
        <w:rPr>
          <w:sz w:val="28"/>
          <w:szCs w:val="28"/>
        </w:rPr>
      </w:pPr>
      <w:r w:rsidRPr="00962603">
        <w:rPr>
          <w:sz w:val="28"/>
          <w:szCs w:val="28"/>
        </w:rPr>
        <w:t>- нормативні показники загальних властивостей і кількості стічних вод, що приймаються у систему каналізації,;</w:t>
      </w:r>
    </w:p>
    <w:p w14:paraId="09CFB835" w14:textId="77777777" w:rsidR="00962603" w:rsidRPr="00962603" w:rsidRDefault="00962603" w:rsidP="005F0F79">
      <w:pPr>
        <w:pStyle w:val="a4"/>
        <w:ind w:firstLine="567"/>
        <w:jc w:val="both"/>
        <w:rPr>
          <w:sz w:val="28"/>
          <w:szCs w:val="28"/>
        </w:rPr>
      </w:pPr>
      <w:r w:rsidRPr="00962603">
        <w:rPr>
          <w:sz w:val="28"/>
          <w:szCs w:val="28"/>
        </w:rPr>
        <w:t>- перелік і нормативи допустимих концентрацій забруднюючих речовин, що приймаються у систему каналізації;</w:t>
      </w:r>
    </w:p>
    <w:p w14:paraId="00DA77DD" w14:textId="77777777" w:rsidR="00962603" w:rsidRPr="00962603" w:rsidRDefault="00962603" w:rsidP="005F0F79">
      <w:pPr>
        <w:pStyle w:val="a4"/>
        <w:ind w:firstLine="567"/>
        <w:jc w:val="both"/>
        <w:rPr>
          <w:sz w:val="28"/>
          <w:szCs w:val="28"/>
        </w:rPr>
      </w:pPr>
      <w:r w:rsidRPr="00962603">
        <w:rPr>
          <w:sz w:val="28"/>
          <w:szCs w:val="28"/>
        </w:rPr>
        <w:t>- перелік речовин заборонених до скидання в системи каналізації;</w:t>
      </w:r>
    </w:p>
    <w:p w14:paraId="58350C03" w14:textId="77777777" w:rsidR="00962603" w:rsidRDefault="00962603" w:rsidP="005F0F79">
      <w:pPr>
        <w:spacing w:after="0" w:line="240" w:lineRule="auto"/>
        <w:ind w:firstLine="567"/>
        <w:jc w:val="both"/>
        <w:rPr>
          <w:rFonts w:ascii="Times New Roman" w:hAnsi="Times New Roman" w:cs="Times New Roman"/>
          <w:bCs/>
          <w:sz w:val="28"/>
          <w:szCs w:val="28"/>
        </w:rPr>
      </w:pPr>
      <w:r w:rsidRPr="00962603">
        <w:rPr>
          <w:rFonts w:ascii="Times New Roman" w:hAnsi="Times New Roman" w:cs="Times New Roman"/>
          <w:sz w:val="28"/>
          <w:szCs w:val="28"/>
        </w:rPr>
        <w:t>- визначення та встановлення відповідальності за</w:t>
      </w:r>
      <w:r w:rsidRPr="00962603">
        <w:rPr>
          <w:rFonts w:ascii="Times New Roman" w:hAnsi="Times New Roman" w:cs="Times New Roman"/>
          <w:bCs/>
          <w:sz w:val="28"/>
          <w:szCs w:val="28"/>
        </w:rPr>
        <w:t xml:space="preserve"> порушення вимог до скиду стічних вод, що скидаються до системи централізованого водовідведення</w:t>
      </w:r>
      <w:r w:rsidR="00167DB6">
        <w:rPr>
          <w:rFonts w:ascii="Times New Roman" w:hAnsi="Times New Roman" w:cs="Times New Roman"/>
          <w:bCs/>
          <w:sz w:val="28"/>
          <w:szCs w:val="28"/>
        </w:rPr>
        <w:t>.</w:t>
      </w:r>
    </w:p>
    <w:p w14:paraId="061AA7CF" w14:textId="77777777" w:rsidR="00167DB6" w:rsidRDefault="00167DB6" w:rsidP="005F0F79">
      <w:pPr>
        <w:spacing w:after="0" w:line="240" w:lineRule="auto"/>
        <w:ind w:firstLine="567"/>
        <w:jc w:val="both"/>
        <w:rPr>
          <w:rFonts w:ascii="Times New Roman" w:hAnsi="Times New Roman" w:cs="Times New Roman"/>
          <w:bCs/>
          <w:sz w:val="28"/>
          <w:szCs w:val="28"/>
        </w:rPr>
      </w:pPr>
    </w:p>
    <w:p w14:paraId="47A47189" w14:textId="3B613219" w:rsidR="00167DB6" w:rsidRPr="00167DB6" w:rsidRDefault="00167DB6" w:rsidP="003056B9">
      <w:pPr>
        <w:spacing w:after="0" w:line="240" w:lineRule="auto"/>
        <w:ind w:firstLine="567"/>
        <w:jc w:val="center"/>
        <w:rPr>
          <w:rFonts w:ascii="Times New Roman" w:hAnsi="Times New Roman" w:cs="Times New Roman"/>
          <w:b/>
          <w:bCs/>
          <w:sz w:val="28"/>
          <w:szCs w:val="28"/>
        </w:rPr>
      </w:pPr>
      <w:r w:rsidRPr="00167DB6">
        <w:rPr>
          <w:rFonts w:ascii="Times New Roman" w:hAnsi="Times New Roman" w:cs="Times New Roman"/>
          <w:b/>
          <w:bCs/>
          <w:sz w:val="28"/>
          <w:szCs w:val="28"/>
        </w:rPr>
        <w:t>3. Визначення та оцінка альтернативних способів досягнення визначених цілей.</w:t>
      </w:r>
    </w:p>
    <w:p w14:paraId="0AA47D99" w14:textId="1213196E" w:rsidR="00167DB6" w:rsidRDefault="00167DB6" w:rsidP="005F0F79">
      <w:pPr>
        <w:spacing w:after="0" w:line="240" w:lineRule="auto"/>
        <w:ind w:firstLine="567"/>
        <w:jc w:val="both"/>
        <w:rPr>
          <w:rFonts w:ascii="Times New Roman" w:hAnsi="Times New Roman" w:cs="Times New Roman"/>
          <w:sz w:val="28"/>
          <w:szCs w:val="28"/>
        </w:rPr>
      </w:pPr>
      <w:r w:rsidRPr="00167DB6">
        <w:rPr>
          <w:rFonts w:ascii="Times New Roman" w:hAnsi="Times New Roman" w:cs="Times New Roman"/>
          <w:sz w:val="28"/>
          <w:szCs w:val="28"/>
        </w:rPr>
        <w:t>Про</w:t>
      </w:r>
      <w:r w:rsidR="006264ED">
        <w:rPr>
          <w:rFonts w:ascii="Times New Roman" w:hAnsi="Times New Roman" w:cs="Times New Roman"/>
          <w:sz w:val="28"/>
          <w:szCs w:val="28"/>
        </w:rPr>
        <w:t>є</w:t>
      </w:r>
      <w:r w:rsidRPr="00167DB6">
        <w:rPr>
          <w:rFonts w:ascii="Times New Roman" w:hAnsi="Times New Roman" w:cs="Times New Roman"/>
          <w:sz w:val="28"/>
          <w:szCs w:val="28"/>
        </w:rPr>
        <w:t>кт регуляторного акт</w:t>
      </w:r>
      <w:r w:rsidR="00D004CD">
        <w:rPr>
          <w:rFonts w:ascii="Times New Roman" w:hAnsi="Times New Roman" w:cs="Times New Roman"/>
          <w:sz w:val="28"/>
          <w:szCs w:val="28"/>
        </w:rPr>
        <w:t>у</w:t>
      </w:r>
      <w:r w:rsidRPr="00167DB6">
        <w:rPr>
          <w:rFonts w:ascii="Times New Roman" w:hAnsi="Times New Roman" w:cs="Times New Roman"/>
          <w:sz w:val="28"/>
          <w:szCs w:val="28"/>
        </w:rPr>
        <w:t xml:space="preserve"> передбачає комплексне розв'язання зазначених проблем та досягнення визначених цілей з урахуванням вимог Конституції України, законів, підзаконних нормативно-правових актів, які є базовими у сфері централізованого водопостачання та водовідведення. Виходячи з цих вимог максимально взято до уваги та інтегровано всі наявні альтернативні пропозиції з порушених питань.  </w:t>
      </w:r>
    </w:p>
    <w:p w14:paraId="63730E7A" w14:textId="77777777" w:rsidR="00167DB6" w:rsidRDefault="00167DB6" w:rsidP="00962603">
      <w:pPr>
        <w:spacing w:after="0"/>
        <w:ind w:firstLine="567"/>
        <w:jc w:val="both"/>
        <w:rPr>
          <w:rFonts w:ascii="Times New Roman" w:hAnsi="Times New Roman" w:cs="Times New Roman"/>
          <w:sz w:val="28"/>
          <w:szCs w:val="28"/>
        </w:rPr>
      </w:pPr>
      <w:r w:rsidRPr="006516F0">
        <w:rPr>
          <w:rFonts w:ascii="Times New Roman" w:hAnsi="Times New Roman" w:cs="Times New Roman"/>
          <w:i/>
          <w:iCs/>
          <w:sz w:val="28"/>
          <w:szCs w:val="28"/>
        </w:rPr>
        <w:t>1. Визначення альтернативних способів</w:t>
      </w:r>
      <w:r w:rsidRPr="00167DB6">
        <w:rPr>
          <w:rFonts w:ascii="Times New Roman" w:hAnsi="Times New Roman" w:cs="Times New Roman"/>
          <w:sz w:val="28"/>
          <w:szCs w:val="28"/>
        </w:rPr>
        <w:t xml:space="preserve">. </w:t>
      </w:r>
    </w:p>
    <w:p w14:paraId="4FFF4B7D" w14:textId="77777777" w:rsidR="00167DB6" w:rsidRDefault="00167DB6" w:rsidP="00962603">
      <w:pPr>
        <w:spacing w:after="0"/>
        <w:ind w:firstLine="567"/>
        <w:jc w:val="both"/>
        <w:rPr>
          <w:rFonts w:ascii="Times New Roman" w:hAnsi="Times New Roman" w:cs="Times New Roman"/>
          <w:sz w:val="28"/>
          <w:szCs w:val="28"/>
        </w:rPr>
      </w:pPr>
      <w:r w:rsidRPr="00167DB6">
        <w:rPr>
          <w:rFonts w:ascii="Times New Roman" w:hAnsi="Times New Roman" w:cs="Times New Roman"/>
          <w:sz w:val="28"/>
          <w:szCs w:val="28"/>
        </w:rPr>
        <w:t>У ході визначення альтернативних способів досягнення встановлених цілей державного регулювання доцільно розглянути наступні прийнятні:</w:t>
      </w:r>
    </w:p>
    <w:tbl>
      <w:tblPr>
        <w:tblStyle w:val="a5"/>
        <w:tblW w:w="9493" w:type="dxa"/>
        <w:tblLook w:val="04A0" w:firstRow="1" w:lastRow="0" w:firstColumn="1" w:lastColumn="0" w:noHBand="0" w:noVBand="1"/>
      </w:tblPr>
      <w:tblGrid>
        <w:gridCol w:w="2689"/>
        <w:gridCol w:w="6804"/>
      </w:tblGrid>
      <w:tr w:rsidR="00167DB6" w:rsidRPr="00C97606" w14:paraId="52BD30B7" w14:textId="77777777" w:rsidTr="00C97606">
        <w:tc>
          <w:tcPr>
            <w:tcW w:w="2689" w:type="dxa"/>
          </w:tcPr>
          <w:p w14:paraId="0FFFED34" w14:textId="77777777" w:rsidR="00167DB6" w:rsidRPr="00C97606" w:rsidRDefault="00D004CD" w:rsidP="00D004CD">
            <w:pPr>
              <w:jc w:val="center"/>
              <w:rPr>
                <w:rFonts w:ascii="Times New Roman" w:hAnsi="Times New Roman" w:cs="Times New Roman"/>
                <w:b/>
                <w:bCs/>
                <w:i/>
                <w:iCs/>
                <w:sz w:val="24"/>
                <w:szCs w:val="24"/>
              </w:rPr>
            </w:pPr>
            <w:r w:rsidRPr="00C97606">
              <w:rPr>
                <w:rFonts w:ascii="Times New Roman" w:hAnsi="Times New Roman" w:cs="Times New Roman"/>
                <w:b/>
                <w:bCs/>
                <w:i/>
                <w:iCs/>
                <w:sz w:val="24"/>
                <w:szCs w:val="24"/>
              </w:rPr>
              <w:t>Вид альтернативи</w:t>
            </w:r>
          </w:p>
        </w:tc>
        <w:tc>
          <w:tcPr>
            <w:tcW w:w="6804" w:type="dxa"/>
          </w:tcPr>
          <w:p w14:paraId="683BA1DB" w14:textId="77777777" w:rsidR="00167DB6" w:rsidRPr="00C97606" w:rsidRDefault="00D004CD" w:rsidP="00D004CD">
            <w:pPr>
              <w:jc w:val="center"/>
              <w:rPr>
                <w:rFonts w:ascii="Times New Roman" w:hAnsi="Times New Roman" w:cs="Times New Roman"/>
                <w:b/>
                <w:bCs/>
                <w:i/>
                <w:iCs/>
                <w:sz w:val="24"/>
                <w:szCs w:val="24"/>
              </w:rPr>
            </w:pPr>
            <w:r w:rsidRPr="00C97606">
              <w:rPr>
                <w:rFonts w:ascii="Times New Roman" w:hAnsi="Times New Roman" w:cs="Times New Roman"/>
                <w:b/>
                <w:bCs/>
                <w:i/>
                <w:iCs/>
                <w:sz w:val="24"/>
                <w:szCs w:val="24"/>
              </w:rPr>
              <w:t>Опис альтернативи</w:t>
            </w:r>
          </w:p>
        </w:tc>
      </w:tr>
      <w:tr w:rsidR="00167DB6" w:rsidRPr="00C97606" w14:paraId="3D977C1A" w14:textId="77777777" w:rsidTr="00C97606">
        <w:tc>
          <w:tcPr>
            <w:tcW w:w="2689" w:type="dxa"/>
          </w:tcPr>
          <w:p w14:paraId="3F02B45F" w14:textId="77777777" w:rsidR="00167DB6" w:rsidRPr="00C97606" w:rsidRDefault="00D004CD" w:rsidP="00962603">
            <w:pPr>
              <w:jc w:val="both"/>
              <w:rPr>
                <w:rFonts w:ascii="Times New Roman" w:hAnsi="Times New Roman" w:cs="Times New Roman"/>
                <w:sz w:val="24"/>
                <w:szCs w:val="24"/>
              </w:rPr>
            </w:pPr>
            <w:r w:rsidRPr="00C97606">
              <w:rPr>
                <w:rFonts w:ascii="Times New Roman" w:hAnsi="Times New Roman" w:cs="Times New Roman"/>
                <w:sz w:val="24"/>
                <w:szCs w:val="24"/>
              </w:rPr>
              <w:t>Залишення існуючої на даний момент ситуації без змін</w:t>
            </w:r>
          </w:p>
        </w:tc>
        <w:tc>
          <w:tcPr>
            <w:tcW w:w="6804" w:type="dxa"/>
          </w:tcPr>
          <w:p w14:paraId="65CE7CD2" w14:textId="77777777" w:rsidR="00167DB6" w:rsidRPr="00C97606" w:rsidRDefault="00D004CD" w:rsidP="00962603">
            <w:pPr>
              <w:jc w:val="both"/>
              <w:rPr>
                <w:rFonts w:ascii="Times New Roman" w:hAnsi="Times New Roman" w:cs="Times New Roman"/>
                <w:sz w:val="24"/>
                <w:szCs w:val="24"/>
              </w:rPr>
            </w:pPr>
            <w:r w:rsidRPr="00C97606">
              <w:rPr>
                <w:rFonts w:ascii="Times New Roman" w:hAnsi="Times New Roman" w:cs="Times New Roman"/>
                <w:sz w:val="24"/>
                <w:szCs w:val="24"/>
              </w:rPr>
              <w:t>Не забезпечується досягнення цілі щодо створення умов для попередження порушень у роботі систем централізованого водовідведення та очищення стічних вод, підвищення ефективності роботи та забезпечення належної експлуатації систем водовідведення, а також охорони навколишнього природного середовища від забруднення скидами стічних вод, що в свою чергу є гарантуванням безпеки життя і здоров’я людини.</w:t>
            </w:r>
          </w:p>
        </w:tc>
      </w:tr>
      <w:tr w:rsidR="00167DB6" w:rsidRPr="00C97606" w14:paraId="141C2B6E" w14:textId="77777777" w:rsidTr="00C97606">
        <w:tc>
          <w:tcPr>
            <w:tcW w:w="2689" w:type="dxa"/>
          </w:tcPr>
          <w:p w14:paraId="7780B5ED" w14:textId="77777777" w:rsidR="00167DB6" w:rsidRPr="00C97606" w:rsidRDefault="00D004CD" w:rsidP="00962603">
            <w:pPr>
              <w:jc w:val="both"/>
              <w:rPr>
                <w:rFonts w:ascii="Times New Roman" w:hAnsi="Times New Roman" w:cs="Times New Roman"/>
                <w:sz w:val="24"/>
                <w:szCs w:val="24"/>
              </w:rPr>
            </w:pPr>
            <w:r w:rsidRPr="00C97606">
              <w:rPr>
                <w:rFonts w:ascii="Times New Roman" w:hAnsi="Times New Roman" w:cs="Times New Roman"/>
                <w:sz w:val="24"/>
                <w:szCs w:val="24"/>
              </w:rPr>
              <w:t>Прийняття регуляторного акту</w:t>
            </w:r>
          </w:p>
        </w:tc>
        <w:tc>
          <w:tcPr>
            <w:tcW w:w="6804" w:type="dxa"/>
          </w:tcPr>
          <w:p w14:paraId="1FD0460D" w14:textId="3B3F2D32" w:rsidR="00167DB6" w:rsidRPr="00C97606" w:rsidRDefault="00D004CD" w:rsidP="00962603">
            <w:pPr>
              <w:jc w:val="both"/>
              <w:rPr>
                <w:rFonts w:ascii="Times New Roman" w:hAnsi="Times New Roman" w:cs="Times New Roman"/>
                <w:sz w:val="24"/>
                <w:szCs w:val="24"/>
              </w:rPr>
            </w:pPr>
            <w:r w:rsidRPr="00C97606">
              <w:rPr>
                <w:rFonts w:ascii="Times New Roman" w:hAnsi="Times New Roman" w:cs="Times New Roman"/>
                <w:sz w:val="24"/>
                <w:szCs w:val="24"/>
              </w:rPr>
              <w:t>Прийняття про</w:t>
            </w:r>
            <w:r w:rsidR="006264ED" w:rsidRPr="00C97606">
              <w:rPr>
                <w:rFonts w:ascii="Times New Roman" w:hAnsi="Times New Roman" w:cs="Times New Roman"/>
                <w:sz w:val="24"/>
                <w:szCs w:val="24"/>
              </w:rPr>
              <w:t>є</w:t>
            </w:r>
            <w:r w:rsidRPr="00C97606">
              <w:rPr>
                <w:rFonts w:ascii="Times New Roman" w:hAnsi="Times New Roman" w:cs="Times New Roman"/>
                <w:sz w:val="24"/>
                <w:szCs w:val="24"/>
              </w:rPr>
              <w:t>кту регуляторного акту забезпечить створення належних правових підстав та умов для безпечного й безперебійного функціонування систем централізованого водовідведення та очищення стічних вод населених пунктів.</w:t>
            </w:r>
          </w:p>
        </w:tc>
      </w:tr>
    </w:tbl>
    <w:p w14:paraId="751B4A05" w14:textId="77777777" w:rsidR="006516F0" w:rsidRDefault="006516F0" w:rsidP="006B16FD">
      <w:pPr>
        <w:spacing w:after="0" w:line="240" w:lineRule="auto"/>
        <w:jc w:val="both"/>
        <w:rPr>
          <w:rFonts w:ascii="Times New Roman" w:hAnsi="Times New Roman" w:cs="Times New Roman"/>
          <w:sz w:val="28"/>
          <w:szCs w:val="28"/>
        </w:rPr>
      </w:pPr>
    </w:p>
    <w:p w14:paraId="32F39774" w14:textId="77777777" w:rsidR="0010724A" w:rsidRDefault="0010724A" w:rsidP="006B16FD">
      <w:pPr>
        <w:spacing w:after="0" w:line="240" w:lineRule="auto"/>
        <w:ind w:firstLine="567"/>
        <w:jc w:val="both"/>
        <w:rPr>
          <w:rFonts w:ascii="Times New Roman" w:hAnsi="Times New Roman" w:cs="Times New Roman"/>
          <w:sz w:val="28"/>
          <w:szCs w:val="28"/>
        </w:rPr>
      </w:pPr>
      <w:r w:rsidRPr="006516F0">
        <w:rPr>
          <w:rFonts w:ascii="Times New Roman" w:hAnsi="Times New Roman" w:cs="Times New Roman"/>
          <w:i/>
          <w:iCs/>
          <w:sz w:val="28"/>
          <w:szCs w:val="28"/>
        </w:rPr>
        <w:t>2. Оцінка вибраних альтернативних способів досягнення цілей</w:t>
      </w:r>
      <w:r w:rsidRPr="0010724A">
        <w:rPr>
          <w:rFonts w:ascii="Times New Roman" w:hAnsi="Times New Roman" w:cs="Times New Roman"/>
          <w:sz w:val="28"/>
          <w:szCs w:val="28"/>
        </w:rPr>
        <w:t>.</w:t>
      </w:r>
    </w:p>
    <w:p w14:paraId="0FD15CAD" w14:textId="7E639CEA" w:rsidR="00D36920" w:rsidRPr="006B16FD" w:rsidRDefault="0010724A" w:rsidP="006B16FD">
      <w:pPr>
        <w:spacing w:after="0" w:line="240" w:lineRule="auto"/>
        <w:ind w:firstLine="567"/>
        <w:jc w:val="both"/>
        <w:rPr>
          <w:rFonts w:ascii="Times New Roman" w:hAnsi="Times New Roman" w:cs="Times New Roman"/>
          <w:sz w:val="28"/>
          <w:szCs w:val="28"/>
        </w:rPr>
      </w:pPr>
      <w:r w:rsidRPr="0010724A">
        <w:rPr>
          <w:rFonts w:ascii="Times New Roman" w:hAnsi="Times New Roman" w:cs="Times New Roman"/>
          <w:sz w:val="28"/>
          <w:szCs w:val="28"/>
        </w:rPr>
        <w:t xml:space="preserve">Нижче наведено опис </w:t>
      </w:r>
      <w:proofErr w:type="spellStart"/>
      <w:r w:rsidRPr="0010724A">
        <w:rPr>
          <w:rFonts w:ascii="Times New Roman" w:hAnsi="Times New Roman" w:cs="Times New Roman"/>
          <w:sz w:val="28"/>
          <w:szCs w:val="28"/>
        </w:rPr>
        <w:t>вигод</w:t>
      </w:r>
      <w:proofErr w:type="spellEnd"/>
      <w:r w:rsidRPr="0010724A">
        <w:rPr>
          <w:rFonts w:ascii="Times New Roman" w:hAnsi="Times New Roman" w:cs="Times New Roman"/>
          <w:sz w:val="28"/>
          <w:szCs w:val="28"/>
        </w:rPr>
        <w:t xml:space="preserve"> та витрат за кожною альтернативою для сфер інтересів держави, громадян та суб’єктів господарювання. </w:t>
      </w:r>
    </w:p>
    <w:p w14:paraId="73B4E0F4" w14:textId="17180701" w:rsidR="0010724A" w:rsidRPr="0010724A" w:rsidRDefault="0010724A" w:rsidP="006B16FD">
      <w:pPr>
        <w:spacing w:after="0" w:line="240" w:lineRule="auto"/>
        <w:ind w:firstLine="567"/>
        <w:jc w:val="both"/>
        <w:rPr>
          <w:rFonts w:ascii="Times New Roman" w:hAnsi="Times New Roman" w:cs="Times New Roman"/>
          <w:i/>
          <w:iCs/>
          <w:sz w:val="28"/>
          <w:szCs w:val="28"/>
        </w:rPr>
      </w:pPr>
      <w:r w:rsidRPr="0010724A">
        <w:rPr>
          <w:rFonts w:ascii="Times New Roman" w:hAnsi="Times New Roman" w:cs="Times New Roman"/>
          <w:i/>
          <w:iCs/>
          <w:sz w:val="28"/>
          <w:szCs w:val="28"/>
        </w:rPr>
        <w:t>Оцінка впливу на сферу інтересів держави.</w:t>
      </w:r>
    </w:p>
    <w:tbl>
      <w:tblPr>
        <w:tblStyle w:val="a5"/>
        <w:tblW w:w="9493" w:type="dxa"/>
        <w:tblLook w:val="04A0" w:firstRow="1" w:lastRow="0" w:firstColumn="1" w:lastColumn="0" w:noHBand="0" w:noVBand="1"/>
      </w:tblPr>
      <w:tblGrid>
        <w:gridCol w:w="2689"/>
        <w:gridCol w:w="4536"/>
        <w:gridCol w:w="2268"/>
      </w:tblGrid>
      <w:tr w:rsidR="0010724A" w:rsidRPr="00C97606" w14:paraId="7682E487" w14:textId="77777777" w:rsidTr="00C97606">
        <w:tc>
          <w:tcPr>
            <w:tcW w:w="2689" w:type="dxa"/>
          </w:tcPr>
          <w:p w14:paraId="7D26F4E3" w14:textId="77777777" w:rsidR="0010724A" w:rsidRPr="00C97606" w:rsidRDefault="0010724A" w:rsidP="0010724A">
            <w:pPr>
              <w:jc w:val="center"/>
              <w:rPr>
                <w:rFonts w:ascii="Times New Roman" w:hAnsi="Times New Roman" w:cs="Times New Roman"/>
                <w:b/>
                <w:bCs/>
                <w:i/>
                <w:iCs/>
                <w:sz w:val="24"/>
                <w:szCs w:val="24"/>
              </w:rPr>
            </w:pPr>
            <w:r w:rsidRPr="00C97606">
              <w:rPr>
                <w:rFonts w:ascii="Times New Roman" w:hAnsi="Times New Roman" w:cs="Times New Roman"/>
                <w:b/>
                <w:bCs/>
                <w:i/>
                <w:iCs/>
                <w:sz w:val="24"/>
                <w:szCs w:val="24"/>
              </w:rPr>
              <w:t>Вид альтернативи</w:t>
            </w:r>
          </w:p>
        </w:tc>
        <w:tc>
          <w:tcPr>
            <w:tcW w:w="4536" w:type="dxa"/>
          </w:tcPr>
          <w:p w14:paraId="5A8D993B" w14:textId="77777777" w:rsidR="0010724A" w:rsidRPr="00C97606" w:rsidRDefault="0010724A" w:rsidP="0010724A">
            <w:pPr>
              <w:jc w:val="center"/>
              <w:rPr>
                <w:rFonts w:ascii="Times New Roman" w:hAnsi="Times New Roman" w:cs="Times New Roman"/>
                <w:b/>
                <w:bCs/>
                <w:i/>
                <w:iCs/>
                <w:sz w:val="24"/>
                <w:szCs w:val="24"/>
              </w:rPr>
            </w:pPr>
            <w:r w:rsidRPr="00C97606">
              <w:rPr>
                <w:rFonts w:ascii="Times New Roman" w:hAnsi="Times New Roman" w:cs="Times New Roman"/>
                <w:b/>
                <w:bCs/>
                <w:i/>
                <w:iCs/>
                <w:sz w:val="24"/>
                <w:szCs w:val="24"/>
              </w:rPr>
              <w:t>Вигоди</w:t>
            </w:r>
          </w:p>
        </w:tc>
        <w:tc>
          <w:tcPr>
            <w:tcW w:w="2268" w:type="dxa"/>
          </w:tcPr>
          <w:p w14:paraId="053C5483" w14:textId="77777777" w:rsidR="0010724A" w:rsidRPr="00C97606" w:rsidRDefault="0010724A" w:rsidP="0010724A">
            <w:pPr>
              <w:jc w:val="center"/>
              <w:rPr>
                <w:rFonts w:ascii="Times New Roman" w:hAnsi="Times New Roman" w:cs="Times New Roman"/>
                <w:b/>
                <w:bCs/>
                <w:i/>
                <w:iCs/>
                <w:sz w:val="24"/>
                <w:szCs w:val="24"/>
              </w:rPr>
            </w:pPr>
            <w:r w:rsidRPr="00C97606">
              <w:rPr>
                <w:rFonts w:ascii="Times New Roman" w:hAnsi="Times New Roman" w:cs="Times New Roman"/>
                <w:b/>
                <w:bCs/>
                <w:i/>
                <w:iCs/>
                <w:sz w:val="24"/>
                <w:szCs w:val="24"/>
              </w:rPr>
              <w:t>Витрати</w:t>
            </w:r>
          </w:p>
        </w:tc>
      </w:tr>
      <w:tr w:rsidR="0010724A" w:rsidRPr="00C97606" w14:paraId="2D847DED" w14:textId="77777777" w:rsidTr="00C97606">
        <w:tc>
          <w:tcPr>
            <w:tcW w:w="2689" w:type="dxa"/>
          </w:tcPr>
          <w:p w14:paraId="1685FF10" w14:textId="77777777" w:rsidR="0010724A" w:rsidRPr="00C97606" w:rsidRDefault="0010724A" w:rsidP="00962603">
            <w:pPr>
              <w:jc w:val="both"/>
              <w:rPr>
                <w:rFonts w:ascii="Times New Roman" w:hAnsi="Times New Roman" w:cs="Times New Roman"/>
                <w:sz w:val="24"/>
                <w:szCs w:val="24"/>
              </w:rPr>
            </w:pPr>
            <w:r w:rsidRPr="00C97606">
              <w:rPr>
                <w:rFonts w:ascii="Times New Roman" w:hAnsi="Times New Roman" w:cs="Times New Roman"/>
                <w:sz w:val="24"/>
                <w:szCs w:val="24"/>
              </w:rPr>
              <w:t>Залишення існуючої на даний момент ситуації без змін</w:t>
            </w:r>
          </w:p>
        </w:tc>
        <w:tc>
          <w:tcPr>
            <w:tcW w:w="4536" w:type="dxa"/>
          </w:tcPr>
          <w:p w14:paraId="2D96D192" w14:textId="77777777" w:rsidR="0010724A" w:rsidRPr="00C97606" w:rsidRDefault="0010724A" w:rsidP="00962603">
            <w:pPr>
              <w:jc w:val="both"/>
              <w:rPr>
                <w:rFonts w:ascii="Times New Roman" w:hAnsi="Times New Roman" w:cs="Times New Roman"/>
                <w:sz w:val="24"/>
                <w:szCs w:val="24"/>
              </w:rPr>
            </w:pPr>
            <w:r w:rsidRPr="00C97606">
              <w:rPr>
                <w:rFonts w:ascii="Times New Roman" w:hAnsi="Times New Roman" w:cs="Times New Roman"/>
                <w:sz w:val="24"/>
                <w:szCs w:val="24"/>
              </w:rPr>
              <w:t>У разі неприйняття запропонованого нормативно-правового акту вигоди відсутні.</w:t>
            </w:r>
          </w:p>
        </w:tc>
        <w:tc>
          <w:tcPr>
            <w:tcW w:w="2268" w:type="dxa"/>
          </w:tcPr>
          <w:p w14:paraId="0DF28FD4" w14:textId="77777777" w:rsidR="0010724A" w:rsidRPr="00C97606" w:rsidRDefault="0010724A" w:rsidP="00962603">
            <w:pPr>
              <w:jc w:val="both"/>
              <w:rPr>
                <w:rFonts w:ascii="Times New Roman" w:hAnsi="Times New Roman" w:cs="Times New Roman"/>
                <w:sz w:val="24"/>
                <w:szCs w:val="24"/>
              </w:rPr>
            </w:pPr>
            <w:r w:rsidRPr="00C97606">
              <w:rPr>
                <w:rFonts w:ascii="Times New Roman" w:hAnsi="Times New Roman" w:cs="Times New Roman"/>
                <w:sz w:val="24"/>
                <w:szCs w:val="24"/>
              </w:rPr>
              <w:t xml:space="preserve">Альтернатива є неприйнятною, оскільки не забезпечує </w:t>
            </w:r>
            <w:r w:rsidRPr="00C97606">
              <w:rPr>
                <w:rFonts w:ascii="Times New Roman" w:hAnsi="Times New Roman" w:cs="Times New Roman"/>
                <w:sz w:val="24"/>
                <w:szCs w:val="24"/>
              </w:rPr>
              <w:lastRenderedPageBreak/>
              <w:t>досягнення поставленої мети</w:t>
            </w:r>
          </w:p>
        </w:tc>
      </w:tr>
      <w:tr w:rsidR="0010724A" w:rsidRPr="00C97606" w14:paraId="3CE60374" w14:textId="77777777" w:rsidTr="00C97606">
        <w:tc>
          <w:tcPr>
            <w:tcW w:w="2689" w:type="dxa"/>
          </w:tcPr>
          <w:p w14:paraId="4EDFB2A1" w14:textId="77777777" w:rsidR="0010724A" w:rsidRPr="00C97606" w:rsidRDefault="0010724A" w:rsidP="00962603">
            <w:pPr>
              <w:jc w:val="both"/>
              <w:rPr>
                <w:rFonts w:ascii="Times New Roman" w:hAnsi="Times New Roman" w:cs="Times New Roman"/>
                <w:sz w:val="24"/>
                <w:szCs w:val="24"/>
              </w:rPr>
            </w:pPr>
            <w:r w:rsidRPr="00C97606">
              <w:rPr>
                <w:rFonts w:ascii="Times New Roman" w:hAnsi="Times New Roman" w:cs="Times New Roman"/>
                <w:sz w:val="24"/>
                <w:szCs w:val="24"/>
              </w:rPr>
              <w:lastRenderedPageBreak/>
              <w:t>Прийняття регуляторного акту</w:t>
            </w:r>
          </w:p>
        </w:tc>
        <w:tc>
          <w:tcPr>
            <w:tcW w:w="4536" w:type="dxa"/>
          </w:tcPr>
          <w:p w14:paraId="76D4B9E7" w14:textId="77777777" w:rsidR="006A4637" w:rsidRPr="00C97606" w:rsidRDefault="0010724A" w:rsidP="00962603">
            <w:pPr>
              <w:jc w:val="both"/>
              <w:rPr>
                <w:rFonts w:ascii="Times New Roman" w:hAnsi="Times New Roman" w:cs="Times New Roman"/>
                <w:sz w:val="24"/>
                <w:szCs w:val="24"/>
              </w:rPr>
            </w:pPr>
            <w:r w:rsidRPr="00C97606">
              <w:rPr>
                <w:rFonts w:ascii="Times New Roman" w:hAnsi="Times New Roman" w:cs="Times New Roman"/>
                <w:sz w:val="24"/>
                <w:szCs w:val="24"/>
              </w:rPr>
              <w:t>Введення в дію запропонованого акту забезпечить: - виконання вимог Закону України «Про питну воду та питне водопостачання»;</w:t>
            </w:r>
          </w:p>
          <w:p w14:paraId="59ECD6F1" w14:textId="77777777" w:rsidR="006A4637" w:rsidRPr="00C97606" w:rsidRDefault="0010724A" w:rsidP="00962603">
            <w:pPr>
              <w:jc w:val="both"/>
              <w:rPr>
                <w:rFonts w:ascii="Times New Roman" w:hAnsi="Times New Roman" w:cs="Times New Roman"/>
                <w:sz w:val="24"/>
                <w:szCs w:val="24"/>
              </w:rPr>
            </w:pPr>
            <w:r w:rsidRPr="00C97606">
              <w:rPr>
                <w:rFonts w:ascii="Times New Roman" w:hAnsi="Times New Roman" w:cs="Times New Roman"/>
                <w:sz w:val="24"/>
                <w:szCs w:val="24"/>
              </w:rPr>
              <w:t xml:space="preserve"> - реалізація державної політики у сфері водовідведення;</w:t>
            </w:r>
          </w:p>
          <w:p w14:paraId="6DFEB77C" w14:textId="77777777" w:rsidR="006A4637" w:rsidRPr="00C97606" w:rsidRDefault="0010724A" w:rsidP="00962603">
            <w:pPr>
              <w:jc w:val="both"/>
              <w:rPr>
                <w:rFonts w:ascii="Times New Roman" w:hAnsi="Times New Roman" w:cs="Times New Roman"/>
                <w:sz w:val="24"/>
                <w:szCs w:val="24"/>
              </w:rPr>
            </w:pPr>
            <w:r w:rsidRPr="00C97606">
              <w:rPr>
                <w:rFonts w:ascii="Times New Roman" w:hAnsi="Times New Roman" w:cs="Times New Roman"/>
                <w:sz w:val="24"/>
                <w:szCs w:val="24"/>
              </w:rPr>
              <w:t xml:space="preserve">  - запобігання порушення технологічного режиму очищення стічних вод внаслідок наднормативного надходження забруднюючих речовин;</w:t>
            </w:r>
          </w:p>
          <w:p w14:paraId="5FD20B61" w14:textId="77777777" w:rsidR="006A4637" w:rsidRPr="00C97606" w:rsidRDefault="0010724A" w:rsidP="00962603">
            <w:pPr>
              <w:jc w:val="both"/>
              <w:rPr>
                <w:rFonts w:ascii="Times New Roman" w:hAnsi="Times New Roman" w:cs="Times New Roman"/>
                <w:sz w:val="24"/>
                <w:szCs w:val="24"/>
              </w:rPr>
            </w:pPr>
            <w:r w:rsidRPr="00C97606">
              <w:rPr>
                <w:rFonts w:ascii="Times New Roman" w:hAnsi="Times New Roman" w:cs="Times New Roman"/>
                <w:sz w:val="24"/>
                <w:szCs w:val="24"/>
              </w:rPr>
              <w:t xml:space="preserve"> - безпечну експлуатацію мереж міської системи каналізації</w:t>
            </w:r>
            <w:r w:rsidR="006A4637" w:rsidRPr="00C97606">
              <w:rPr>
                <w:rFonts w:ascii="Times New Roman" w:hAnsi="Times New Roman" w:cs="Times New Roman"/>
                <w:sz w:val="24"/>
                <w:szCs w:val="24"/>
              </w:rPr>
              <w:t>;</w:t>
            </w:r>
          </w:p>
          <w:p w14:paraId="180B617B" w14:textId="77777777" w:rsidR="0010724A" w:rsidRPr="00C97606" w:rsidRDefault="0010724A" w:rsidP="00962603">
            <w:pPr>
              <w:jc w:val="both"/>
              <w:rPr>
                <w:rFonts w:ascii="Times New Roman" w:hAnsi="Times New Roman" w:cs="Times New Roman"/>
                <w:sz w:val="24"/>
                <w:szCs w:val="24"/>
              </w:rPr>
            </w:pPr>
            <w:r w:rsidRPr="00C97606">
              <w:rPr>
                <w:rFonts w:ascii="Times New Roman" w:hAnsi="Times New Roman" w:cs="Times New Roman"/>
                <w:sz w:val="24"/>
                <w:szCs w:val="24"/>
              </w:rPr>
              <w:t xml:space="preserve"> - попередження забруднення водного об’єкту недостатньо очищеними стічними водами.</w:t>
            </w:r>
          </w:p>
        </w:tc>
        <w:tc>
          <w:tcPr>
            <w:tcW w:w="2268" w:type="dxa"/>
          </w:tcPr>
          <w:p w14:paraId="07A76BFA" w14:textId="3273FA9E" w:rsidR="0010724A" w:rsidRPr="00C97606" w:rsidRDefault="0010724A" w:rsidP="00962603">
            <w:pPr>
              <w:jc w:val="both"/>
              <w:rPr>
                <w:rFonts w:ascii="Times New Roman" w:hAnsi="Times New Roman" w:cs="Times New Roman"/>
                <w:sz w:val="24"/>
                <w:szCs w:val="24"/>
              </w:rPr>
            </w:pPr>
            <w:r w:rsidRPr="00C97606">
              <w:rPr>
                <w:rFonts w:ascii="Times New Roman" w:hAnsi="Times New Roman" w:cs="Times New Roman"/>
                <w:sz w:val="24"/>
                <w:szCs w:val="24"/>
              </w:rPr>
              <w:t>Реалізація про</w:t>
            </w:r>
            <w:r w:rsidR="006264ED" w:rsidRPr="00C97606">
              <w:rPr>
                <w:rFonts w:ascii="Times New Roman" w:hAnsi="Times New Roman" w:cs="Times New Roman"/>
                <w:sz w:val="24"/>
                <w:szCs w:val="24"/>
              </w:rPr>
              <w:t>є</w:t>
            </w:r>
            <w:r w:rsidRPr="00C97606">
              <w:rPr>
                <w:rFonts w:ascii="Times New Roman" w:hAnsi="Times New Roman" w:cs="Times New Roman"/>
                <w:sz w:val="24"/>
                <w:szCs w:val="24"/>
              </w:rPr>
              <w:t>кту регуляторного акту не потребує додаткових витрат з державного та/або місцевого бюджету</w:t>
            </w:r>
          </w:p>
        </w:tc>
      </w:tr>
    </w:tbl>
    <w:p w14:paraId="5F1F445E" w14:textId="77777777" w:rsidR="0010724A" w:rsidRPr="0010724A" w:rsidRDefault="0010724A">
      <w:pPr>
        <w:spacing w:after="0"/>
        <w:ind w:firstLine="567"/>
        <w:jc w:val="both"/>
        <w:rPr>
          <w:rFonts w:ascii="Times New Roman" w:hAnsi="Times New Roman" w:cs="Times New Roman"/>
          <w:i/>
          <w:iCs/>
          <w:sz w:val="28"/>
          <w:szCs w:val="28"/>
        </w:rPr>
      </w:pPr>
      <w:r w:rsidRPr="0010724A">
        <w:rPr>
          <w:rFonts w:ascii="Times New Roman" w:hAnsi="Times New Roman" w:cs="Times New Roman"/>
          <w:i/>
          <w:iCs/>
          <w:sz w:val="28"/>
          <w:szCs w:val="28"/>
        </w:rPr>
        <w:t>Оцінка впливу на сферу інтересів громадян.</w:t>
      </w:r>
    </w:p>
    <w:tbl>
      <w:tblPr>
        <w:tblStyle w:val="a5"/>
        <w:tblW w:w="9493" w:type="dxa"/>
        <w:tblLook w:val="04A0" w:firstRow="1" w:lastRow="0" w:firstColumn="1" w:lastColumn="0" w:noHBand="0" w:noVBand="1"/>
      </w:tblPr>
      <w:tblGrid>
        <w:gridCol w:w="2689"/>
        <w:gridCol w:w="4961"/>
        <w:gridCol w:w="1843"/>
      </w:tblGrid>
      <w:tr w:rsidR="0010724A" w:rsidRPr="00C97606" w14:paraId="3BA5FDBD" w14:textId="77777777" w:rsidTr="00C97606">
        <w:tc>
          <w:tcPr>
            <w:tcW w:w="2689" w:type="dxa"/>
          </w:tcPr>
          <w:p w14:paraId="4D8EB213" w14:textId="77777777" w:rsidR="0010724A" w:rsidRPr="00C97606" w:rsidRDefault="0010724A" w:rsidP="0010724A">
            <w:pPr>
              <w:jc w:val="center"/>
              <w:rPr>
                <w:rFonts w:ascii="Times New Roman" w:hAnsi="Times New Roman" w:cs="Times New Roman"/>
                <w:b/>
                <w:bCs/>
                <w:i/>
                <w:iCs/>
                <w:sz w:val="24"/>
                <w:szCs w:val="24"/>
              </w:rPr>
            </w:pPr>
            <w:r w:rsidRPr="00C97606">
              <w:rPr>
                <w:rFonts w:ascii="Times New Roman" w:hAnsi="Times New Roman" w:cs="Times New Roman"/>
                <w:b/>
                <w:bCs/>
                <w:i/>
                <w:iCs/>
                <w:sz w:val="24"/>
                <w:szCs w:val="24"/>
              </w:rPr>
              <w:t>Вид альтернативи</w:t>
            </w:r>
          </w:p>
        </w:tc>
        <w:tc>
          <w:tcPr>
            <w:tcW w:w="4961" w:type="dxa"/>
          </w:tcPr>
          <w:p w14:paraId="76525A44" w14:textId="77777777" w:rsidR="0010724A" w:rsidRPr="00C97606" w:rsidRDefault="0010724A" w:rsidP="0010724A">
            <w:pPr>
              <w:jc w:val="center"/>
              <w:rPr>
                <w:rFonts w:ascii="Times New Roman" w:hAnsi="Times New Roman" w:cs="Times New Roman"/>
                <w:b/>
                <w:bCs/>
                <w:i/>
                <w:iCs/>
                <w:sz w:val="24"/>
                <w:szCs w:val="24"/>
              </w:rPr>
            </w:pPr>
            <w:r w:rsidRPr="00C97606">
              <w:rPr>
                <w:rFonts w:ascii="Times New Roman" w:hAnsi="Times New Roman" w:cs="Times New Roman"/>
                <w:b/>
                <w:bCs/>
                <w:i/>
                <w:iCs/>
                <w:sz w:val="24"/>
                <w:szCs w:val="24"/>
              </w:rPr>
              <w:t>Вигоди</w:t>
            </w:r>
          </w:p>
        </w:tc>
        <w:tc>
          <w:tcPr>
            <w:tcW w:w="1843" w:type="dxa"/>
          </w:tcPr>
          <w:p w14:paraId="505DDAF6" w14:textId="77777777" w:rsidR="0010724A" w:rsidRPr="00C97606" w:rsidRDefault="0010724A" w:rsidP="0010724A">
            <w:pPr>
              <w:jc w:val="center"/>
              <w:rPr>
                <w:rFonts w:ascii="Times New Roman" w:hAnsi="Times New Roman" w:cs="Times New Roman"/>
                <w:b/>
                <w:bCs/>
                <w:i/>
                <w:iCs/>
                <w:sz w:val="24"/>
                <w:szCs w:val="24"/>
              </w:rPr>
            </w:pPr>
            <w:r w:rsidRPr="00C97606">
              <w:rPr>
                <w:rFonts w:ascii="Times New Roman" w:hAnsi="Times New Roman" w:cs="Times New Roman"/>
                <w:b/>
                <w:bCs/>
                <w:i/>
                <w:iCs/>
                <w:sz w:val="24"/>
                <w:szCs w:val="24"/>
              </w:rPr>
              <w:t>Витрати</w:t>
            </w:r>
          </w:p>
        </w:tc>
      </w:tr>
      <w:tr w:rsidR="0010724A" w:rsidRPr="00C97606" w14:paraId="64E28912" w14:textId="77777777" w:rsidTr="00C97606">
        <w:tc>
          <w:tcPr>
            <w:tcW w:w="2689" w:type="dxa"/>
          </w:tcPr>
          <w:p w14:paraId="6A04047D" w14:textId="77777777" w:rsidR="0010724A" w:rsidRPr="00C97606" w:rsidRDefault="0010724A" w:rsidP="0010724A">
            <w:pPr>
              <w:jc w:val="both"/>
              <w:rPr>
                <w:rFonts w:ascii="Times New Roman" w:hAnsi="Times New Roman" w:cs="Times New Roman"/>
                <w:sz w:val="24"/>
                <w:szCs w:val="24"/>
              </w:rPr>
            </w:pPr>
            <w:r w:rsidRPr="00C97606">
              <w:rPr>
                <w:rFonts w:ascii="Times New Roman" w:hAnsi="Times New Roman" w:cs="Times New Roman"/>
                <w:sz w:val="24"/>
                <w:szCs w:val="24"/>
              </w:rPr>
              <w:t>Залишення існуючої на даний момент ситуації без змін</w:t>
            </w:r>
          </w:p>
        </w:tc>
        <w:tc>
          <w:tcPr>
            <w:tcW w:w="4961" w:type="dxa"/>
          </w:tcPr>
          <w:p w14:paraId="372D1E88" w14:textId="77777777" w:rsidR="0010724A" w:rsidRPr="00C97606" w:rsidRDefault="0010724A" w:rsidP="0010724A">
            <w:pPr>
              <w:jc w:val="both"/>
              <w:rPr>
                <w:rFonts w:ascii="Times New Roman" w:hAnsi="Times New Roman" w:cs="Times New Roman"/>
                <w:sz w:val="24"/>
                <w:szCs w:val="24"/>
              </w:rPr>
            </w:pPr>
            <w:r w:rsidRPr="00C97606">
              <w:rPr>
                <w:rFonts w:ascii="Times New Roman" w:hAnsi="Times New Roman" w:cs="Times New Roman"/>
                <w:sz w:val="24"/>
                <w:szCs w:val="24"/>
              </w:rPr>
              <w:t>Відсутні</w:t>
            </w:r>
          </w:p>
        </w:tc>
        <w:tc>
          <w:tcPr>
            <w:tcW w:w="1843" w:type="dxa"/>
          </w:tcPr>
          <w:p w14:paraId="58F90931" w14:textId="77777777" w:rsidR="0010724A" w:rsidRPr="00C97606" w:rsidRDefault="0010724A" w:rsidP="0010724A">
            <w:pPr>
              <w:jc w:val="both"/>
              <w:rPr>
                <w:rFonts w:ascii="Times New Roman" w:hAnsi="Times New Roman" w:cs="Times New Roman"/>
                <w:sz w:val="24"/>
                <w:szCs w:val="24"/>
              </w:rPr>
            </w:pPr>
          </w:p>
        </w:tc>
      </w:tr>
      <w:tr w:rsidR="0010724A" w:rsidRPr="00C97606" w14:paraId="00021B84" w14:textId="77777777" w:rsidTr="00C97606">
        <w:tc>
          <w:tcPr>
            <w:tcW w:w="2689" w:type="dxa"/>
          </w:tcPr>
          <w:p w14:paraId="61B1636F" w14:textId="77777777" w:rsidR="0010724A" w:rsidRPr="00C97606" w:rsidRDefault="0010724A" w:rsidP="0010724A">
            <w:pPr>
              <w:jc w:val="both"/>
              <w:rPr>
                <w:rFonts w:ascii="Times New Roman" w:hAnsi="Times New Roman" w:cs="Times New Roman"/>
                <w:sz w:val="24"/>
                <w:szCs w:val="24"/>
              </w:rPr>
            </w:pPr>
            <w:r w:rsidRPr="00C97606">
              <w:rPr>
                <w:rFonts w:ascii="Times New Roman" w:hAnsi="Times New Roman" w:cs="Times New Roman"/>
                <w:sz w:val="24"/>
                <w:szCs w:val="24"/>
              </w:rPr>
              <w:t>Прийняття регуляторного акту</w:t>
            </w:r>
          </w:p>
        </w:tc>
        <w:tc>
          <w:tcPr>
            <w:tcW w:w="4961" w:type="dxa"/>
          </w:tcPr>
          <w:p w14:paraId="6D4088BD" w14:textId="238DFE4A" w:rsidR="0010724A" w:rsidRPr="00C97606" w:rsidRDefault="0010724A" w:rsidP="0010724A">
            <w:pPr>
              <w:jc w:val="both"/>
              <w:rPr>
                <w:rFonts w:ascii="Times New Roman" w:hAnsi="Times New Roman" w:cs="Times New Roman"/>
                <w:sz w:val="24"/>
                <w:szCs w:val="24"/>
              </w:rPr>
            </w:pPr>
            <w:r w:rsidRPr="00C97606">
              <w:rPr>
                <w:rFonts w:ascii="Times New Roman" w:hAnsi="Times New Roman" w:cs="Times New Roman"/>
                <w:sz w:val="24"/>
                <w:szCs w:val="24"/>
              </w:rPr>
              <w:t>Про</w:t>
            </w:r>
            <w:r w:rsidR="006264ED" w:rsidRPr="00C97606">
              <w:rPr>
                <w:rFonts w:ascii="Times New Roman" w:hAnsi="Times New Roman" w:cs="Times New Roman"/>
                <w:sz w:val="24"/>
                <w:szCs w:val="24"/>
              </w:rPr>
              <w:t>є</w:t>
            </w:r>
            <w:r w:rsidRPr="00C97606">
              <w:rPr>
                <w:rFonts w:ascii="Times New Roman" w:hAnsi="Times New Roman" w:cs="Times New Roman"/>
                <w:sz w:val="24"/>
                <w:szCs w:val="24"/>
              </w:rPr>
              <w:t>кт регуляторного акт</w:t>
            </w:r>
            <w:r w:rsidR="00986317" w:rsidRPr="00C97606">
              <w:rPr>
                <w:rFonts w:ascii="Times New Roman" w:hAnsi="Times New Roman" w:cs="Times New Roman"/>
                <w:sz w:val="24"/>
                <w:szCs w:val="24"/>
              </w:rPr>
              <w:t>у</w:t>
            </w:r>
            <w:r w:rsidRPr="00C97606">
              <w:rPr>
                <w:rFonts w:ascii="Times New Roman" w:hAnsi="Times New Roman" w:cs="Times New Roman"/>
                <w:sz w:val="24"/>
                <w:szCs w:val="24"/>
              </w:rPr>
              <w:t xml:space="preserve"> не стосується прав та обов’язків громадян. Вигодою введення в дію запропонованого регуляторного акт</w:t>
            </w:r>
            <w:r w:rsidR="00986317" w:rsidRPr="00C97606">
              <w:rPr>
                <w:rFonts w:ascii="Times New Roman" w:hAnsi="Times New Roman" w:cs="Times New Roman"/>
                <w:sz w:val="24"/>
                <w:szCs w:val="24"/>
              </w:rPr>
              <w:t>у</w:t>
            </w:r>
            <w:r w:rsidRPr="00C97606">
              <w:rPr>
                <w:rFonts w:ascii="Times New Roman" w:hAnsi="Times New Roman" w:cs="Times New Roman"/>
                <w:sz w:val="24"/>
                <w:szCs w:val="24"/>
              </w:rPr>
              <w:t xml:space="preserve"> є прозорість та якість для населення умов діяльності виробника та споживачів, покращення екологічного стану міста, який є візитною карткою кожного населеного пункту і показником рівня участі міської громади у вирішенні проблем сфери екології міста. Створює єдиний порядок та умови для приймання стічних вод споживачів до систем централізованого водовідведення, за яких не порушується робота комунальних каналізаційних мереж та споруд, покращується безпека їх експлуатації та забезпечується відповідність якості очистки стічних вод, забезпечує єдину процедуру проведення контролю за складом та властивостями стічних вод, що скидаються споживачами до систем централізованого водовідведення.</w:t>
            </w:r>
          </w:p>
        </w:tc>
        <w:tc>
          <w:tcPr>
            <w:tcW w:w="1843" w:type="dxa"/>
          </w:tcPr>
          <w:p w14:paraId="5FCABEAF" w14:textId="77777777" w:rsidR="0010724A" w:rsidRPr="00C97606" w:rsidRDefault="0010724A" w:rsidP="0010724A">
            <w:pPr>
              <w:jc w:val="both"/>
              <w:rPr>
                <w:rFonts w:ascii="Times New Roman" w:hAnsi="Times New Roman" w:cs="Times New Roman"/>
                <w:sz w:val="24"/>
                <w:szCs w:val="24"/>
              </w:rPr>
            </w:pPr>
          </w:p>
        </w:tc>
      </w:tr>
    </w:tbl>
    <w:p w14:paraId="6BE6458E" w14:textId="77777777" w:rsidR="0010724A" w:rsidRDefault="00986317">
      <w:pPr>
        <w:spacing w:after="0"/>
        <w:ind w:firstLine="567"/>
        <w:jc w:val="both"/>
        <w:rPr>
          <w:rFonts w:ascii="Times New Roman" w:hAnsi="Times New Roman" w:cs="Times New Roman"/>
          <w:i/>
          <w:iCs/>
          <w:sz w:val="28"/>
          <w:szCs w:val="28"/>
        </w:rPr>
      </w:pPr>
      <w:r w:rsidRPr="00986317">
        <w:rPr>
          <w:rFonts w:ascii="Times New Roman" w:hAnsi="Times New Roman" w:cs="Times New Roman"/>
          <w:i/>
          <w:iCs/>
          <w:sz w:val="28"/>
          <w:szCs w:val="28"/>
        </w:rPr>
        <w:t>Оцінка впливу на сферу інтересів суб’єктів господарювання.</w:t>
      </w:r>
    </w:p>
    <w:tbl>
      <w:tblPr>
        <w:tblW w:w="9503" w:type="dxa"/>
        <w:tblInd w:w="-10" w:type="dxa"/>
        <w:tblLayout w:type="fixed"/>
        <w:tblLook w:val="04A0" w:firstRow="1" w:lastRow="0" w:firstColumn="1" w:lastColumn="0" w:noHBand="0" w:noVBand="1"/>
      </w:tblPr>
      <w:tblGrid>
        <w:gridCol w:w="2699"/>
        <w:gridCol w:w="4677"/>
        <w:gridCol w:w="2127"/>
      </w:tblGrid>
      <w:tr w:rsidR="00986317" w:rsidRPr="00C97606" w14:paraId="36180B29" w14:textId="77777777" w:rsidTr="00C97606">
        <w:tc>
          <w:tcPr>
            <w:tcW w:w="2699" w:type="dxa"/>
            <w:tcBorders>
              <w:top w:val="single" w:sz="4" w:space="0" w:color="000000"/>
              <w:left w:val="single" w:sz="4" w:space="0" w:color="000000"/>
              <w:bottom w:val="single" w:sz="4" w:space="0" w:color="000000"/>
              <w:right w:val="nil"/>
            </w:tcBorders>
          </w:tcPr>
          <w:p w14:paraId="7C075809" w14:textId="77777777" w:rsidR="00986317" w:rsidRPr="00C97606" w:rsidRDefault="00986317" w:rsidP="006B16FD">
            <w:pPr>
              <w:pStyle w:val="a6"/>
              <w:ind w:firstLine="113"/>
              <w:jc w:val="center"/>
              <w:rPr>
                <w:b/>
                <w:bCs/>
                <w:i/>
                <w:iCs/>
                <w:lang w:val="uk-UA"/>
              </w:rPr>
            </w:pPr>
            <w:r w:rsidRPr="00C97606">
              <w:rPr>
                <w:b/>
                <w:bCs/>
                <w:i/>
                <w:iCs/>
                <w:lang w:val="uk-UA"/>
              </w:rPr>
              <w:t>Вид альтернативи</w:t>
            </w:r>
          </w:p>
        </w:tc>
        <w:tc>
          <w:tcPr>
            <w:tcW w:w="4677" w:type="dxa"/>
            <w:tcBorders>
              <w:top w:val="single" w:sz="4" w:space="0" w:color="000000"/>
              <w:left w:val="single" w:sz="4" w:space="0" w:color="000000"/>
              <w:bottom w:val="single" w:sz="4" w:space="0" w:color="000000"/>
              <w:right w:val="nil"/>
            </w:tcBorders>
            <w:hideMark/>
          </w:tcPr>
          <w:p w14:paraId="40C95E36" w14:textId="77777777" w:rsidR="00986317" w:rsidRPr="00C97606" w:rsidRDefault="00986317" w:rsidP="006B16FD">
            <w:pPr>
              <w:pStyle w:val="a6"/>
              <w:ind w:firstLine="113"/>
              <w:jc w:val="center"/>
              <w:rPr>
                <w:b/>
                <w:bCs/>
                <w:i/>
                <w:iCs/>
                <w:lang w:val="uk-UA"/>
              </w:rPr>
            </w:pPr>
            <w:r w:rsidRPr="00C97606">
              <w:rPr>
                <w:b/>
                <w:bCs/>
                <w:i/>
                <w:iCs/>
                <w:lang w:val="uk-UA"/>
              </w:rPr>
              <w:t>Вигоди</w:t>
            </w:r>
          </w:p>
        </w:tc>
        <w:tc>
          <w:tcPr>
            <w:tcW w:w="2127" w:type="dxa"/>
            <w:tcBorders>
              <w:top w:val="single" w:sz="4" w:space="0" w:color="000000"/>
              <w:left w:val="single" w:sz="4" w:space="0" w:color="000000"/>
              <w:bottom w:val="single" w:sz="4" w:space="0" w:color="000000"/>
              <w:right w:val="single" w:sz="4" w:space="0" w:color="000000"/>
            </w:tcBorders>
            <w:hideMark/>
          </w:tcPr>
          <w:p w14:paraId="08300AB9" w14:textId="77777777" w:rsidR="00986317" w:rsidRPr="00C97606" w:rsidRDefault="00986317" w:rsidP="006B16FD">
            <w:pPr>
              <w:pStyle w:val="a6"/>
              <w:ind w:firstLine="113"/>
              <w:jc w:val="center"/>
              <w:rPr>
                <w:b/>
                <w:bCs/>
                <w:i/>
                <w:iCs/>
                <w:lang w:val="uk-UA"/>
              </w:rPr>
            </w:pPr>
            <w:r w:rsidRPr="00C97606">
              <w:rPr>
                <w:b/>
                <w:bCs/>
                <w:i/>
                <w:iCs/>
                <w:lang w:val="uk-UA"/>
              </w:rPr>
              <w:t>Витрати</w:t>
            </w:r>
          </w:p>
        </w:tc>
      </w:tr>
      <w:tr w:rsidR="00986317" w:rsidRPr="00C97606" w14:paraId="55B92A3A" w14:textId="77777777" w:rsidTr="00C97606">
        <w:trPr>
          <w:trHeight w:val="1266"/>
        </w:trPr>
        <w:tc>
          <w:tcPr>
            <w:tcW w:w="2699" w:type="dxa"/>
            <w:tcBorders>
              <w:top w:val="single" w:sz="4" w:space="0" w:color="000000"/>
              <w:left w:val="single" w:sz="4" w:space="0" w:color="000000"/>
              <w:bottom w:val="single" w:sz="4" w:space="0" w:color="000000"/>
              <w:right w:val="nil"/>
            </w:tcBorders>
            <w:hideMark/>
          </w:tcPr>
          <w:p w14:paraId="53710753" w14:textId="77777777" w:rsidR="00986317" w:rsidRPr="00C97606" w:rsidRDefault="00986317" w:rsidP="006B16FD">
            <w:pPr>
              <w:pStyle w:val="a6"/>
              <w:ind w:firstLine="113"/>
              <w:rPr>
                <w:lang w:val="uk-UA"/>
              </w:rPr>
            </w:pPr>
            <w:r w:rsidRPr="00C97606">
              <w:rPr>
                <w:rStyle w:val="2"/>
                <w:lang w:val="uk-UA"/>
              </w:rPr>
              <w:t>Залишення існуючої на даний момент ситуації без змін</w:t>
            </w:r>
          </w:p>
        </w:tc>
        <w:tc>
          <w:tcPr>
            <w:tcW w:w="4677" w:type="dxa"/>
            <w:tcBorders>
              <w:top w:val="single" w:sz="4" w:space="0" w:color="000000"/>
              <w:left w:val="single" w:sz="4" w:space="0" w:color="000000"/>
              <w:bottom w:val="single" w:sz="4" w:space="0" w:color="000000"/>
              <w:right w:val="nil"/>
            </w:tcBorders>
            <w:hideMark/>
          </w:tcPr>
          <w:p w14:paraId="3232D66B" w14:textId="77777777" w:rsidR="00986317" w:rsidRPr="00C97606" w:rsidRDefault="00986317" w:rsidP="006B16FD">
            <w:pPr>
              <w:pStyle w:val="a6"/>
              <w:ind w:firstLine="113"/>
              <w:rPr>
                <w:rStyle w:val="2"/>
              </w:rPr>
            </w:pPr>
            <w:r w:rsidRPr="00C97606">
              <w:rPr>
                <w:rStyle w:val="2"/>
                <w:lang w:val="uk-UA"/>
              </w:rPr>
              <w:t>Не вбачаються</w:t>
            </w:r>
          </w:p>
        </w:tc>
        <w:tc>
          <w:tcPr>
            <w:tcW w:w="2127" w:type="dxa"/>
            <w:tcBorders>
              <w:top w:val="single" w:sz="4" w:space="0" w:color="000000"/>
              <w:left w:val="single" w:sz="4" w:space="0" w:color="000000"/>
              <w:bottom w:val="single" w:sz="4" w:space="0" w:color="000000"/>
              <w:right w:val="single" w:sz="4" w:space="0" w:color="000000"/>
            </w:tcBorders>
            <w:hideMark/>
          </w:tcPr>
          <w:p w14:paraId="6358837C" w14:textId="77777777" w:rsidR="00986317" w:rsidRPr="00C97606" w:rsidRDefault="00986317" w:rsidP="006B16FD">
            <w:pPr>
              <w:pStyle w:val="a6"/>
            </w:pPr>
            <w:r w:rsidRPr="00C97606">
              <w:rPr>
                <w:lang w:val="uk-UA"/>
              </w:rPr>
              <w:t xml:space="preserve">Додаткові витрати відсутні </w:t>
            </w:r>
          </w:p>
        </w:tc>
      </w:tr>
      <w:tr w:rsidR="00986317" w:rsidRPr="00C97606" w14:paraId="6702BDA6" w14:textId="77777777" w:rsidTr="00C97606">
        <w:trPr>
          <w:trHeight w:val="1930"/>
        </w:trPr>
        <w:tc>
          <w:tcPr>
            <w:tcW w:w="2699" w:type="dxa"/>
            <w:tcBorders>
              <w:top w:val="single" w:sz="4" w:space="0" w:color="000000"/>
              <w:left w:val="single" w:sz="4" w:space="0" w:color="000000"/>
              <w:bottom w:val="single" w:sz="4" w:space="0" w:color="auto"/>
              <w:right w:val="nil"/>
            </w:tcBorders>
            <w:hideMark/>
          </w:tcPr>
          <w:p w14:paraId="3B95C86A" w14:textId="77777777" w:rsidR="00986317" w:rsidRPr="00C97606" w:rsidRDefault="00986317" w:rsidP="006B16FD">
            <w:pPr>
              <w:pStyle w:val="a6"/>
              <w:ind w:firstLine="113"/>
              <w:rPr>
                <w:rStyle w:val="2"/>
              </w:rPr>
            </w:pPr>
            <w:r w:rsidRPr="00C97606">
              <w:rPr>
                <w:rStyle w:val="2"/>
                <w:lang w:val="uk-UA"/>
              </w:rPr>
              <w:lastRenderedPageBreak/>
              <w:t xml:space="preserve">Прийняття розробленого регуляторного акту </w:t>
            </w:r>
          </w:p>
        </w:tc>
        <w:tc>
          <w:tcPr>
            <w:tcW w:w="4677" w:type="dxa"/>
            <w:tcBorders>
              <w:top w:val="single" w:sz="4" w:space="0" w:color="000000"/>
              <w:left w:val="single" w:sz="4" w:space="0" w:color="000000"/>
              <w:bottom w:val="single" w:sz="4" w:space="0" w:color="auto"/>
              <w:right w:val="nil"/>
            </w:tcBorders>
            <w:hideMark/>
          </w:tcPr>
          <w:p w14:paraId="7C366013" w14:textId="77777777" w:rsidR="00986317" w:rsidRPr="00C97606" w:rsidRDefault="00986317" w:rsidP="006B16FD">
            <w:pPr>
              <w:spacing w:after="0" w:line="240" w:lineRule="auto"/>
              <w:rPr>
                <w:rFonts w:ascii="Times New Roman" w:hAnsi="Times New Roman" w:cs="Times New Roman"/>
                <w:sz w:val="24"/>
                <w:szCs w:val="24"/>
              </w:rPr>
            </w:pPr>
            <w:r w:rsidRPr="00C97606">
              <w:rPr>
                <w:rFonts w:ascii="Times New Roman" w:hAnsi="Times New Roman" w:cs="Times New Roman"/>
                <w:sz w:val="24"/>
                <w:szCs w:val="24"/>
              </w:rPr>
              <w:t xml:space="preserve">Забезпечення безпеки експлуатації комунальних каналізаційних мереж та споруд та знешкодження стічних вод на каналізаційних очисних спорудах. Забезпечення належного санітарного стану території міста. </w:t>
            </w:r>
          </w:p>
          <w:p w14:paraId="4D10A360" w14:textId="77777777" w:rsidR="00986317" w:rsidRPr="00C97606" w:rsidRDefault="00986317" w:rsidP="006B16FD">
            <w:pPr>
              <w:spacing w:after="0" w:line="240" w:lineRule="auto"/>
              <w:rPr>
                <w:rFonts w:ascii="Times New Roman" w:hAnsi="Times New Roman" w:cs="Times New Roman"/>
                <w:sz w:val="24"/>
                <w:szCs w:val="24"/>
              </w:rPr>
            </w:pPr>
            <w:r w:rsidRPr="00C97606">
              <w:rPr>
                <w:rFonts w:ascii="Times New Roman" w:hAnsi="Times New Roman" w:cs="Times New Roman"/>
                <w:sz w:val="24"/>
                <w:szCs w:val="24"/>
              </w:rPr>
              <w:t>Забезпечення охорони навколишнього природного середовища від забруднення скидами стічних вод.</w:t>
            </w:r>
          </w:p>
        </w:tc>
        <w:tc>
          <w:tcPr>
            <w:tcW w:w="2127" w:type="dxa"/>
            <w:tcBorders>
              <w:top w:val="single" w:sz="4" w:space="0" w:color="000000"/>
              <w:left w:val="single" w:sz="4" w:space="0" w:color="000000"/>
              <w:bottom w:val="single" w:sz="4" w:space="0" w:color="auto"/>
              <w:right w:val="single" w:sz="4" w:space="0" w:color="000000"/>
            </w:tcBorders>
            <w:hideMark/>
          </w:tcPr>
          <w:p w14:paraId="12587810" w14:textId="77777777" w:rsidR="00986317" w:rsidRPr="00C97606" w:rsidRDefault="00986317" w:rsidP="006B16FD">
            <w:pPr>
              <w:pStyle w:val="a6"/>
              <w:rPr>
                <w:lang w:val="uk-UA"/>
              </w:rPr>
            </w:pPr>
            <w:r w:rsidRPr="00C97606">
              <w:rPr>
                <w:lang w:val="uk-UA"/>
              </w:rPr>
              <w:t>Витрати, пов’язані з  виконанням договірних зобов’язань щодо плати за скид промислових та інших стічних вод у систему міської каналізації.</w:t>
            </w:r>
          </w:p>
        </w:tc>
      </w:tr>
    </w:tbl>
    <w:p w14:paraId="6F328037" w14:textId="77777777" w:rsidR="00986317" w:rsidRDefault="00986317" w:rsidP="00986317">
      <w:pPr>
        <w:spacing w:after="0"/>
        <w:ind w:firstLine="567"/>
        <w:jc w:val="both"/>
        <w:rPr>
          <w:rFonts w:ascii="Times New Roman" w:hAnsi="Times New Roman" w:cs="Times New Roman"/>
          <w:i/>
          <w:iCs/>
          <w:sz w:val="28"/>
          <w:szCs w:val="28"/>
        </w:rPr>
      </w:pPr>
    </w:p>
    <w:p w14:paraId="7F6DA1EE" w14:textId="77777777" w:rsidR="00986317" w:rsidRPr="00D12FD4" w:rsidRDefault="00986317" w:rsidP="00D36920">
      <w:pPr>
        <w:spacing w:after="0" w:line="240" w:lineRule="auto"/>
        <w:ind w:firstLine="567"/>
        <w:jc w:val="center"/>
        <w:rPr>
          <w:rFonts w:ascii="Times New Roman" w:hAnsi="Times New Roman" w:cs="Times New Roman"/>
          <w:b/>
          <w:bCs/>
          <w:sz w:val="28"/>
          <w:szCs w:val="28"/>
        </w:rPr>
      </w:pPr>
      <w:r w:rsidRPr="00D12FD4">
        <w:rPr>
          <w:rFonts w:ascii="Times New Roman" w:hAnsi="Times New Roman" w:cs="Times New Roman"/>
          <w:b/>
          <w:bCs/>
          <w:sz w:val="28"/>
          <w:szCs w:val="28"/>
        </w:rPr>
        <w:t>4. Вибір найбільш оптимального альтернативного способу досягнення цілей.</w:t>
      </w:r>
    </w:p>
    <w:tbl>
      <w:tblPr>
        <w:tblStyle w:val="a5"/>
        <w:tblW w:w="9493" w:type="dxa"/>
        <w:tblLook w:val="04A0" w:firstRow="1" w:lastRow="0" w:firstColumn="1" w:lastColumn="0" w:noHBand="0" w:noVBand="1"/>
      </w:tblPr>
      <w:tblGrid>
        <w:gridCol w:w="3729"/>
        <w:gridCol w:w="2808"/>
        <w:gridCol w:w="2956"/>
      </w:tblGrid>
      <w:tr w:rsidR="00B21902" w:rsidRPr="00C97606" w14:paraId="47D35C41" w14:textId="77777777" w:rsidTr="00C97606">
        <w:tc>
          <w:tcPr>
            <w:tcW w:w="3729" w:type="dxa"/>
          </w:tcPr>
          <w:p w14:paraId="2BEA33A7" w14:textId="77777777" w:rsidR="00B21902" w:rsidRPr="00C97606" w:rsidRDefault="00B21902" w:rsidP="00986317">
            <w:pPr>
              <w:jc w:val="both"/>
              <w:rPr>
                <w:rFonts w:ascii="Times New Roman" w:hAnsi="Times New Roman" w:cs="Times New Roman"/>
                <w:b/>
                <w:bCs/>
                <w:i/>
                <w:iCs/>
                <w:sz w:val="24"/>
                <w:szCs w:val="24"/>
              </w:rPr>
            </w:pPr>
            <w:r w:rsidRPr="00C97606">
              <w:rPr>
                <w:rFonts w:ascii="Times New Roman" w:hAnsi="Times New Roman" w:cs="Times New Roman"/>
                <w:b/>
                <w:bCs/>
                <w:i/>
                <w:iCs/>
                <w:sz w:val="24"/>
                <w:szCs w:val="24"/>
              </w:rPr>
              <w:t>Рейтинг результативності (досягнення цілей під час вирішення проблеми)</w:t>
            </w:r>
          </w:p>
        </w:tc>
        <w:tc>
          <w:tcPr>
            <w:tcW w:w="2808" w:type="dxa"/>
          </w:tcPr>
          <w:p w14:paraId="52CC61D0" w14:textId="77777777" w:rsidR="00B21902" w:rsidRPr="00C97606" w:rsidRDefault="00F52593" w:rsidP="00986317">
            <w:pPr>
              <w:jc w:val="both"/>
              <w:rPr>
                <w:rFonts w:ascii="Times New Roman" w:hAnsi="Times New Roman" w:cs="Times New Roman"/>
                <w:b/>
                <w:bCs/>
                <w:i/>
                <w:iCs/>
                <w:sz w:val="24"/>
                <w:szCs w:val="24"/>
              </w:rPr>
            </w:pPr>
            <w:r w:rsidRPr="00C97606">
              <w:rPr>
                <w:rFonts w:ascii="Times New Roman" w:hAnsi="Times New Roman" w:cs="Times New Roman"/>
                <w:b/>
                <w:i/>
                <w:iCs/>
                <w:sz w:val="24"/>
                <w:szCs w:val="24"/>
              </w:rPr>
              <w:t>Бал результативності (за чотирибальною системою оцінки)</w:t>
            </w:r>
          </w:p>
        </w:tc>
        <w:tc>
          <w:tcPr>
            <w:tcW w:w="2956" w:type="dxa"/>
          </w:tcPr>
          <w:p w14:paraId="05D141BB" w14:textId="77777777" w:rsidR="00B21902" w:rsidRPr="00C97606" w:rsidRDefault="00F52593" w:rsidP="00986317">
            <w:pPr>
              <w:jc w:val="both"/>
              <w:rPr>
                <w:rFonts w:ascii="Times New Roman" w:hAnsi="Times New Roman" w:cs="Times New Roman"/>
                <w:b/>
                <w:bCs/>
                <w:i/>
                <w:iCs/>
                <w:sz w:val="24"/>
                <w:szCs w:val="24"/>
              </w:rPr>
            </w:pPr>
            <w:r w:rsidRPr="00C97606">
              <w:rPr>
                <w:rFonts w:ascii="Times New Roman" w:hAnsi="Times New Roman" w:cs="Times New Roman"/>
                <w:b/>
                <w:i/>
                <w:iCs/>
                <w:sz w:val="24"/>
                <w:szCs w:val="24"/>
              </w:rPr>
              <w:t xml:space="preserve">Коментарі щодо присвоєння відповідного </w:t>
            </w:r>
            <w:proofErr w:type="spellStart"/>
            <w:r w:rsidRPr="00C97606">
              <w:rPr>
                <w:rFonts w:ascii="Times New Roman" w:hAnsi="Times New Roman" w:cs="Times New Roman"/>
                <w:b/>
                <w:i/>
                <w:iCs/>
                <w:sz w:val="24"/>
                <w:szCs w:val="24"/>
              </w:rPr>
              <w:t>бала</w:t>
            </w:r>
            <w:proofErr w:type="spellEnd"/>
          </w:p>
        </w:tc>
      </w:tr>
      <w:tr w:rsidR="00B21902" w:rsidRPr="00C97606" w14:paraId="768E346A" w14:textId="77777777" w:rsidTr="00C97606">
        <w:tc>
          <w:tcPr>
            <w:tcW w:w="3729" w:type="dxa"/>
          </w:tcPr>
          <w:p w14:paraId="128701BB" w14:textId="77777777" w:rsidR="00F52593" w:rsidRPr="00C97606" w:rsidRDefault="00F52593" w:rsidP="00F52593">
            <w:pPr>
              <w:rPr>
                <w:rStyle w:val="2"/>
                <w:rFonts w:ascii="Times New Roman" w:hAnsi="Times New Roman" w:cs="Times New Roman"/>
                <w:sz w:val="24"/>
                <w:szCs w:val="24"/>
              </w:rPr>
            </w:pPr>
            <w:r w:rsidRPr="00C97606">
              <w:rPr>
                <w:rStyle w:val="2"/>
                <w:rFonts w:ascii="Times New Roman" w:hAnsi="Times New Roman" w:cs="Times New Roman"/>
                <w:sz w:val="24"/>
                <w:szCs w:val="24"/>
              </w:rPr>
              <w:t>Залишення існуючої на даний момент ситуації без змін</w:t>
            </w:r>
          </w:p>
          <w:p w14:paraId="605A2DC9" w14:textId="77777777" w:rsidR="00B21902" w:rsidRPr="00C97606" w:rsidRDefault="00B21902" w:rsidP="00986317">
            <w:pPr>
              <w:jc w:val="both"/>
              <w:rPr>
                <w:rFonts w:ascii="Times New Roman" w:hAnsi="Times New Roman" w:cs="Times New Roman"/>
                <w:b/>
                <w:bCs/>
                <w:sz w:val="24"/>
                <w:szCs w:val="24"/>
              </w:rPr>
            </w:pPr>
          </w:p>
        </w:tc>
        <w:tc>
          <w:tcPr>
            <w:tcW w:w="2808" w:type="dxa"/>
          </w:tcPr>
          <w:p w14:paraId="7E9B6377" w14:textId="77777777" w:rsidR="00B21902" w:rsidRPr="00C97606" w:rsidRDefault="000B42B5" w:rsidP="000B42B5">
            <w:pPr>
              <w:jc w:val="center"/>
              <w:rPr>
                <w:rFonts w:ascii="Times New Roman" w:hAnsi="Times New Roman" w:cs="Times New Roman"/>
                <w:sz w:val="24"/>
                <w:szCs w:val="24"/>
              </w:rPr>
            </w:pPr>
            <w:r w:rsidRPr="00C97606">
              <w:rPr>
                <w:rFonts w:ascii="Times New Roman" w:hAnsi="Times New Roman" w:cs="Times New Roman"/>
                <w:sz w:val="24"/>
                <w:szCs w:val="24"/>
              </w:rPr>
              <w:t>0</w:t>
            </w:r>
          </w:p>
        </w:tc>
        <w:tc>
          <w:tcPr>
            <w:tcW w:w="2956" w:type="dxa"/>
          </w:tcPr>
          <w:p w14:paraId="02FE72FE" w14:textId="74C4598B" w:rsidR="00B21902" w:rsidRPr="00C97606" w:rsidRDefault="00F52593" w:rsidP="008D6D1C">
            <w:pPr>
              <w:rPr>
                <w:rFonts w:ascii="Times New Roman" w:hAnsi="Times New Roman" w:cs="Times New Roman"/>
                <w:sz w:val="24"/>
                <w:szCs w:val="24"/>
              </w:rPr>
            </w:pPr>
            <w:r w:rsidRPr="00C97606">
              <w:rPr>
                <w:rFonts w:ascii="Times New Roman" w:hAnsi="Times New Roman" w:cs="Times New Roman"/>
                <w:sz w:val="24"/>
                <w:szCs w:val="24"/>
              </w:rPr>
              <w:t>Залишення існуючої на даний момент ситуації без змін є неприйнятною, оскільки не забезпечує досягнення поставленої мети.</w:t>
            </w:r>
          </w:p>
        </w:tc>
      </w:tr>
      <w:tr w:rsidR="00B21902" w:rsidRPr="00C97606" w14:paraId="432BC4B9" w14:textId="77777777" w:rsidTr="00C97606">
        <w:tc>
          <w:tcPr>
            <w:tcW w:w="3729" w:type="dxa"/>
          </w:tcPr>
          <w:p w14:paraId="487DC4EA" w14:textId="3DF3B19E" w:rsidR="00B21902" w:rsidRPr="00C97606" w:rsidRDefault="00F52593" w:rsidP="00986317">
            <w:pPr>
              <w:jc w:val="both"/>
              <w:rPr>
                <w:rFonts w:ascii="Times New Roman" w:hAnsi="Times New Roman" w:cs="Times New Roman"/>
                <w:b/>
                <w:bCs/>
                <w:sz w:val="24"/>
                <w:szCs w:val="24"/>
              </w:rPr>
            </w:pPr>
            <w:r w:rsidRPr="00C97606">
              <w:rPr>
                <w:rStyle w:val="2"/>
                <w:rFonts w:ascii="Times New Roman" w:hAnsi="Times New Roman" w:cs="Times New Roman"/>
                <w:sz w:val="24"/>
                <w:szCs w:val="24"/>
              </w:rPr>
              <w:t>Прийняття про</w:t>
            </w:r>
            <w:r w:rsidR="006264ED" w:rsidRPr="00C97606">
              <w:rPr>
                <w:rStyle w:val="2"/>
                <w:rFonts w:ascii="Times New Roman" w:hAnsi="Times New Roman" w:cs="Times New Roman"/>
                <w:sz w:val="24"/>
                <w:szCs w:val="24"/>
              </w:rPr>
              <w:t>є</w:t>
            </w:r>
            <w:r w:rsidRPr="00C97606">
              <w:rPr>
                <w:rStyle w:val="2"/>
                <w:rFonts w:ascii="Times New Roman" w:hAnsi="Times New Roman" w:cs="Times New Roman"/>
                <w:sz w:val="24"/>
                <w:szCs w:val="24"/>
              </w:rPr>
              <w:t xml:space="preserve">кту розробленого регуляторного </w:t>
            </w:r>
            <w:proofErr w:type="spellStart"/>
            <w:r w:rsidRPr="00C97606">
              <w:rPr>
                <w:rStyle w:val="2"/>
                <w:rFonts w:ascii="Times New Roman" w:hAnsi="Times New Roman" w:cs="Times New Roman"/>
                <w:sz w:val="24"/>
                <w:szCs w:val="24"/>
              </w:rPr>
              <w:t>акта</w:t>
            </w:r>
            <w:proofErr w:type="spellEnd"/>
          </w:p>
        </w:tc>
        <w:tc>
          <w:tcPr>
            <w:tcW w:w="2808" w:type="dxa"/>
          </w:tcPr>
          <w:p w14:paraId="1BF81FE6" w14:textId="77777777" w:rsidR="00B21902" w:rsidRPr="00C97606" w:rsidRDefault="000B42B5" w:rsidP="000B42B5">
            <w:pPr>
              <w:jc w:val="center"/>
              <w:rPr>
                <w:rFonts w:ascii="Times New Roman" w:hAnsi="Times New Roman" w:cs="Times New Roman"/>
                <w:sz w:val="24"/>
                <w:szCs w:val="24"/>
              </w:rPr>
            </w:pPr>
            <w:r w:rsidRPr="00C97606">
              <w:rPr>
                <w:rFonts w:ascii="Times New Roman" w:hAnsi="Times New Roman" w:cs="Times New Roman"/>
                <w:sz w:val="24"/>
                <w:szCs w:val="24"/>
              </w:rPr>
              <w:t>4</w:t>
            </w:r>
          </w:p>
        </w:tc>
        <w:tc>
          <w:tcPr>
            <w:tcW w:w="2956" w:type="dxa"/>
          </w:tcPr>
          <w:p w14:paraId="18EC7AB2" w14:textId="7F682557" w:rsidR="00B21902" w:rsidRPr="00C97606" w:rsidRDefault="00F52593" w:rsidP="00986317">
            <w:pPr>
              <w:jc w:val="both"/>
              <w:rPr>
                <w:rFonts w:ascii="Times New Roman" w:hAnsi="Times New Roman" w:cs="Times New Roman"/>
                <w:sz w:val="24"/>
                <w:szCs w:val="24"/>
              </w:rPr>
            </w:pPr>
            <w:r w:rsidRPr="00C97606">
              <w:rPr>
                <w:rFonts w:ascii="Times New Roman" w:hAnsi="Times New Roman" w:cs="Times New Roman"/>
                <w:sz w:val="24"/>
                <w:szCs w:val="24"/>
              </w:rPr>
              <w:t>Прийняття про</w:t>
            </w:r>
            <w:r w:rsidR="006264ED" w:rsidRPr="00C97606">
              <w:rPr>
                <w:rFonts w:ascii="Times New Roman" w:hAnsi="Times New Roman" w:cs="Times New Roman"/>
                <w:sz w:val="24"/>
                <w:szCs w:val="24"/>
              </w:rPr>
              <w:t>є</w:t>
            </w:r>
            <w:r w:rsidRPr="00C97606">
              <w:rPr>
                <w:rFonts w:ascii="Times New Roman" w:hAnsi="Times New Roman" w:cs="Times New Roman"/>
                <w:sz w:val="24"/>
                <w:szCs w:val="24"/>
              </w:rPr>
              <w:t xml:space="preserve">кту регуляторного </w:t>
            </w:r>
            <w:proofErr w:type="spellStart"/>
            <w:r w:rsidRPr="00C97606">
              <w:rPr>
                <w:rFonts w:ascii="Times New Roman" w:hAnsi="Times New Roman" w:cs="Times New Roman"/>
                <w:sz w:val="24"/>
                <w:szCs w:val="24"/>
              </w:rPr>
              <w:t>акта</w:t>
            </w:r>
            <w:proofErr w:type="spellEnd"/>
            <w:r w:rsidRPr="00C97606">
              <w:rPr>
                <w:rFonts w:ascii="Times New Roman" w:hAnsi="Times New Roman" w:cs="Times New Roman"/>
                <w:sz w:val="24"/>
                <w:szCs w:val="24"/>
              </w:rPr>
              <w:t xml:space="preserve"> забезпечить створення належних правових підстав та умов для безпечного й безперебійного функціонування систем централізованого водовідведення та очищення стічних вод населених, вимог Закону України «Про питну воду, питне водопостачання та водовідведення», охорона каналізаційних мереж і споруд, спільну відповідальність (виробника та споживачів), передбачену чинним законодавством України, зменшення розміру відповідальності споживачів за відмову виділити уповноваженого представника для відбору проб стічних вод.</w:t>
            </w:r>
          </w:p>
        </w:tc>
      </w:tr>
    </w:tbl>
    <w:p w14:paraId="0126C0AE" w14:textId="77777777" w:rsidR="00986317" w:rsidRDefault="00986317" w:rsidP="00986317">
      <w:pPr>
        <w:spacing w:after="0"/>
        <w:ind w:firstLine="567"/>
        <w:jc w:val="both"/>
        <w:rPr>
          <w:rFonts w:ascii="Times New Roman" w:hAnsi="Times New Roman" w:cs="Times New Roman"/>
          <w:b/>
          <w:bCs/>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2"/>
        <w:gridCol w:w="3030"/>
        <w:gridCol w:w="1991"/>
        <w:gridCol w:w="2120"/>
      </w:tblGrid>
      <w:tr w:rsidR="000B42B5" w:rsidRPr="00C97606" w14:paraId="1CB81D57" w14:textId="77777777" w:rsidTr="006516F0">
        <w:tc>
          <w:tcPr>
            <w:tcW w:w="2352" w:type="dxa"/>
            <w:tcBorders>
              <w:top w:val="single" w:sz="4" w:space="0" w:color="auto"/>
              <w:left w:val="single" w:sz="4" w:space="0" w:color="auto"/>
              <w:bottom w:val="single" w:sz="4" w:space="0" w:color="auto"/>
              <w:right w:val="single" w:sz="4" w:space="0" w:color="auto"/>
            </w:tcBorders>
            <w:hideMark/>
          </w:tcPr>
          <w:p w14:paraId="46BA9406" w14:textId="77777777" w:rsidR="000B42B5" w:rsidRPr="00C97606" w:rsidRDefault="000B42B5" w:rsidP="006B16FD">
            <w:pPr>
              <w:pStyle w:val="a6"/>
              <w:ind w:right="87" w:firstLine="113"/>
              <w:rPr>
                <w:b/>
                <w:i/>
                <w:iCs/>
                <w:lang w:val="uk-UA"/>
              </w:rPr>
            </w:pPr>
            <w:r w:rsidRPr="00C97606">
              <w:rPr>
                <w:b/>
                <w:i/>
                <w:iCs/>
                <w:lang w:val="uk-UA"/>
              </w:rPr>
              <w:lastRenderedPageBreak/>
              <w:t>Рейтинг результативності</w:t>
            </w:r>
          </w:p>
        </w:tc>
        <w:tc>
          <w:tcPr>
            <w:tcW w:w="3030" w:type="dxa"/>
            <w:tcBorders>
              <w:top w:val="single" w:sz="4" w:space="0" w:color="auto"/>
              <w:left w:val="single" w:sz="4" w:space="0" w:color="auto"/>
              <w:bottom w:val="single" w:sz="4" w:space="0" w:color="auto"/>
              <w:right w:val="single" w:sz="4" w:space="0" w:color="auto"/>
            </w:tcBorders>
            <w:hideMark/>
          </w:tcPr>
          <w:p w14:paraId="7ECD8896" w14:textId="77777777" w:rsidR="000B42B5" w:rsidRPr="00C97606" w:rsidRDefault="000B42B5" w:rsidP="006B16FD">
            <w:pPr>
              <w:pStyle w:val="a6"/>
              <w:ind w:firstLine="113"/>
              <w:rPr>
                <w:b/>
                <w:i/>
                <w:iCs/>
                <w:lang w:val="uk-UA"/>
              </w:rPr>
            </w:pPr>
            <w:r w:rsidRPr="00C97606">
              <w:rPr>
                <w:b/>
                <w:i/>
                <w:iCs/>
                <w:lang w:val="uk-UA"/>
              </w:rPr>
              <w:t>Вигоди (підсумок)</w:t>
            </w:r>
          </w:p>
        </w:tc>
        <w:tc>
          <w:tcPr>
            <w:tcW w:w="1991" w:type="dxa"/>
            <w:tcBorders>
              <w:top w:val="single" w:sz="4" w:space="0" w:color="auto"/>
              <w:left w:val="single" w:sz="4" w:space="0" w:color="auto"/>
              <w:bottom w:val="single" w:sz="4" w:space="0" w:color="auto"/>
              <w:right w:val="single" w:sz="4" w:space="0" w:color="auto"/>
            </w:tcBorders>
            <w:hideMark/>
          </w:tcPr>
          <w:p w14:paraId="2DFDE911" w14:textId="77777777" w:rsidR="000B42B5" w:rsidRPr="00C97606" w:rsidRDefault="000B42B5" w:rsidP="006B16FD">
            <w:pPr>
              <w:pStyle w:val="a6"/>
              <w:ind w:firstLine="113"/>
              <w:rPr>
                <w:b/>
                <w:i/>
                <w:iCs/>
                <w:lang w:val="uk-UA"/>
              </w:rPr>
            </w:pPr>
            <w:r w:rsidRPr="00C97606">
              <w:rPr>
                <w:b/>
                <w:i/>
                <w:iCs/>
                <w:lang w:val="uk-UA"/>
              </w:rPr>
              <w:t>Витрати (підсумок)</w:t>
            </w:r>
          </w:p>
        </w:tc>
        <w:tc>
          <w:tcPr>
            <w:tcW w:w="2120" w:type="dxa"/>
            <w:tcBorders>
              <w:top w:val="single" w:sz="4" w:space="0" w:color="auto"/>
              <w:left w:val="single" w:sz="4" w:space="0" w:color="auto"/>
              <w:bottom w:val="single" w:sz="4" w:space="0" w:color="auto"/>
              <w:right w:val="single" w:sz="4" w:space="0" w:color="auto"/>
            </w:tcBorders>
            <w:hideMark/>
          </w:tcPr>
          <w:p w14:paraId="00E2ED59" w14:textId="77777777" w:rsidR="000B42B5" w:rsidRPr="00C97606" w:rsidRDefault="000B42B5" w:rsidP="006B16FD">
            <w:pPr>
              <w:pStyle w:val="a6"/>
              <w:rPr>
                <w:b/>
                <w:i/>
                <w:iCs/>
                <w:lang w:val="uk-UA"/>
              </w:rPr>
            </w:pPr>
            <w:r w:rsidRPr="00C97606">
              <w:rPr>
                <w:b/>
                <w:i/>
                <w:iCs/>
                <w:lang w:val="uk-UA"/>
              </w:rPr>
              <w:t>Обґрунтування відповідного місця альтернативи у рейтингу</w:t>
            </w:r>
          </w:p>
        </w:tc>
      </w:tr>
      <w:tr w:rsidR="000B42B5" w:rsidRPr="00C97606" w14:paraId="3E81CE3A" w14:textId="77777777" w:rsidTr="006516F0">
        <w:tc>
          <w:tcPr>
            <w:tcW w:w="2352" w:type="dxa"/>
            <w:tcBorders>
              <w:top w:val="single" w:sz="4" w:space="0" w:color="auto"/>
              <w:left w:val="single" w:sz="4" w:space="0" w:color="auto"/>
              <w:bottom w:val="single" w:sz="4" w:space="0" w:color="auto"/>
              <w:right w:val="single" w:sz="4" w:space="0" w:color="auto"/>
            </w:tcBorders>
            <w:hideMark/>
          </w:tcPr>
          <w:p w14:paraId="5E4A5A50" w14:textId="77777777" w:rsidR="000B42B5" w:rsidRPr="00C97606" w:rsidRDefault="000B42B5" w:rsidP="006B16FD">
            <w:pPr>
              <w:pStyle w:val="a6"/>
              <w:ind w:firstLine="113"/>
              <w:rPr>
                <w:lang w:val="uk-UA"/>
              </w:rPr>
            </w:pPr>
            <w:r w:rsidRPr="00C97606">
              <w:rPr>
                <w:rStyle w:val="2"/>
                <w:lang w:val="uk-UA"/>
              </w:rPr>
              <w:t>Залишення існуючої на даний момент ситуації без змін</w:t>
            </w:r>
          </w:p>
        </w:tc>
        <w:tc>
          <w:tcPr>
            <w:tcW w:w="3030" w:type="dxa"/>
            <w:tcBorders>
              <w:top w:val="single" w:sz="4" w:space="0" w:color="auto"/>
              <w:left w:val="single" w:sz="4" w:space="0" w:color="auto"/>
              <w:bottom w:val="single" w:sz="4" w:space="0" w:color="auto"/>
              <w:right w:val="single" w:sz="4" w:space="0" w:color="auto"/>
            </w:tcBorders>
            <w:hideMark/>
          </w:tcPr>
          <w:p w14:paraId="65778DE2" w14:textId="77777777" w:rsidR="000B42B5" w:rsidRPr="00C97606" w:rsidRDefault="000B42B5" w:rsidP="006B16FD">
            <w:pPr>
              <w:pStyle w:val="a6"/>
              <w:ind w:firstLine="20"/>
              <w:rPr>
                <w:lang w:val="uk-UA"/>
              </w:rPr>
            </w:pPr>
            <w:r w:rsidRPr="00C97606">
              <w:rPr>
                <w:lang w:val="uk-UA"/>
              </w:rPr>
              <w:t xml:space="preserve"> </w:t>
            </w:r>
          </w:p>
          <w:p w14:paraId="368AFEF4" w14:textId="77777777" w:rsidR="000B42B5" w:rsidRPr="00C97606" w:rsidRDefault="000B42B5" w:rsidP="006B16FD">
            <w:pPr>
              <w:pStyle w:val="a6"/>
              <w:rPr>
                <w:lang w:val="uk-UA"/>
              </w:rPr>
            </w:pPr>
            <w:r w:rsidRPr="00C97606">
              <w:rPr>
                <w:lang w:val="uk-UA"/>
              </w:rPr>
              <w:t>Відсутні.</w:t>
            </w:r>
          </w:p>
        </w:tc>
        <w:tc>
          <w:tcPr>
            <w:tcW w:w="1991" w:type="dxa"/>
            <w:tcBorders>
              <w:top w:val="single" w:sz="4" w:space="0" w:color="auto"/>
              <w:left w:val="single" w:sz="4" w:space="0" w:color="auto"/>
              <w:bottom w:val="single" w:sz="4" w:space="0" w:color="auto"/>
              <w:right w:val="single" w:sz="4" w:space="0" w:color="auto"/>
            </w:tcBorders>
            <w:hideMark/>
          </w:tcPr>
          <w:p w14:paraId="0D63A70B" w14:textId="77777777" w:rsidR="000B42B5" w:rsidRPr="00C97606" w:rsidRDefault="000B42B5" w:rsidP="006B16FD">
            <w:pPr>
              <w:pStyle w:val="a6"/>
              <w:rPr>
                <w:lang w:val="uk-UA"/>
              </w:rPr>
            </w:pPr>
            <w:r w:rsidRPr="00C97606">
              <w:rPr>
                <w:lang w:val="uk-UA"/>
              </w:rPr>
              <w:t>Відсутність можливостей щодо створення належних умов з охорони навколишнього природного середовища від забруднення скидами стічних вод та охорони поверхневих вод від забруднень зворотними водами.</w:t>
            </w:r>
          </w:p>
        </w:tc>
        <w:tc>
          <w:tcPr>
            <w:tcW w:w="2120" w:type="dxa"/>
            <w:tcBorders>
              <w:top w:val="single" w:sz="4" w:space="0" w:color="auto"/>
              <w:left w:val="single" w:sz="4" w:space="0" w:color="auto"/>
              <w:bottom w:val="single" w:sz="4" w:space="0" w:color="auto"/>
              <w:right w:val="single" w:sz="4" w:space="0" w:color="auto"/>
            </w:tcBorders>
            <w:hideMark/>
          </w:tcPr>
          <w:p w14:paraId="430C00A7" w14:textId="77777777" w:rsidR="000B42B5" w:rsidRPr="00C97606" w:rsidRDefault="000B42B5" w:rsidP="006B16FD">
            <w:pPr>
              <w:spacing w:after="0" w:line="240" w:lineRule="auto"/>
              <w:rPr>
                <w:rFonts w:ascii="Times New Roman" w:hAnsi="Times New Roman" w:cs="Times New Roman"/>
                <w:sz w:val="24"/>
                <w:szCs w:val="24"/>
              </w:rPr>
            </w:pPr>
            <w:r w:rsidRPr="00C97606">
              <w:rPr>
                <w:rFonts w:ascii="Times New Roman" w:hAnsi="Times New Roman" w:cs="Times New Roman"/>
                <w:sz w:val="24"/>
                <w:szCs w:val="24"/>
              </w:rPr>
              <w:t>Проблема продовжуватиме  існувати, що не  забезпечить досягнення  поставленої мети.</w:t>
            </w:r>
          </w:p>
        </w:tc>
      </w:tr>
      <w:tr w:rsidR="000B42B5" w:rsidRPr="00C97606" w14:paraId="38AE6F41" w14:textId="77777777" w:rsidTr="006516F0">
        <w:tc>
          <w:tcPr>
            <w:tcW w:w="2352" w:type="dxa"/>
            <w:tcBorders>
              <w:top w:val="single" w:sz="4" w:space="0" w:color="auto"/>
              <w:left w:val="single" w:sz="4" w:space="0" w:color="auto"/>
              <w:bottom w:val="single" w:sz="4" w:space="0" w:color="auto"/>
              <w:right w:val="single" w:sz="4" w:space="0" w:color="auto"/>
            </w:tcBorders>
            <w:hideMark/>
          </w:tcPr>
          <w:p w14:paraId="14D14C75" w14:textId="557526BF" w:rsidR="000B42B5" w:rsidRPr="00C97606" w:rsidRDefault="000B42B5" w:rsidP="006B16FD">
            <w:pPr>
              <w:spacing w:after="0" w:line="240" w:lineRule="auto"/>
              <w:ind w:firstLine="113"/>
              <w:rPr>
                <w:rStyle w:val="2"/>
                <w:rFonts w:ascii="Times New Roman" w:hAnsi="Times New Roman" w:cs="Times New Roman"/>
                <w:sz w:val="24"/>
                <w:szCs w:val="24"/>
              </w:rPr>
            </w:pPr>
            <w:r w:rsidRPr="00C97606">
              <w:rPr>
                <w:rStyle w:val="2"/>
                <w:rFonts w:ascii="Times New Roman" w:hAnsi="Times New Roman" w:cs="Times New Roman"/>
                <w:sz w:val="24"/>
                <w:szCs w:val="24"/>
              </w:rPr>
              <w:t>Прийняття розробленого про</w:t>
            </w:r>
            <w:r w:rsidR="006264ED" w:rsidRPr="00C97606">
              <w:rPr>
                <w:rStyle w:val="2"/>
                <w:rFonts w:ascii="Times New Roman" w:hAnsi="Times New Roman" w:cs="Times New Roman"/>
                <w:sz w:val="24"/>
                <w:szCs w:val="24"/>
              </w:rPr>
              <w:t>є</w:t>
            </w:r>
            <w:r w:rsidRPr="00C97606">
              <w:rPr>
                <w:rStyle w:val="2"/>
                <w:rFonts w:ascii="Times New Roman" w:hAnsi="Times New Roman" w:cs="Times New Roman"/>
                <w:sz w:val="24"/>
                <w:szCs w:val="24"/>
              </w:rPr>
              <w:t>кту регуляторного акту</w:t>
            </w:r>
          </w:p>
        </w:tc>
        <w:tc>
          <w:tcPr>
            <w:tcW w:w="3030" w:type="dxa"/>
            <w:tcBorders>
              <w:top w:val="single" w:sz="4" w:space="0" w:color="auto"/>
              <w:left w:val="single" w:sz="4" w:space="0" w:color="auto"/>
              <w:bottom w:val="single" w:sz="4" w:space="0" w:color="auto"/>
              <w:right w:val="single" w:sz="4" w:space="0" w:color="auto"/>
            </w:tcBorders>
            <w:hideMark/>
          </w:tcPr>
          <w:p w14:paraId="4D68F7C4" w14:textId="2BAC2401" w:rsidR="00572698" w:rsidRPr="00C97606" w:rsidRDefault="006516F0" w:rsidP="006B16FD">
            <w:pPr>
              <w:spacing w:after="0" w:line="240" w:lineRule="auto"/>
              <w:rPr>
                <w:rFonts w:ascii="Times New Roman" w:hAnsi="Times New Roman" w:cs="Times New Roman"/>
                <w:sz w:val="24"/>
                <w:szCs w:val="24"/>
              </w:rPr>
            </w:pPr>
            <w:r w:rsidRPr="00C97606">
              <w:rPr>
                <w:rFonts w:ascii="Times New Roman" w:hAnsi="Times New Roman" w:cs="Times New Roman"/>
                <w:sz w:val="24"/>
                <w:szCs w:val="24"/>
              </w:rPr>
              <w:t>1. Реалізація державної політики у сфері водопровідно-каналізаційного господарства</w:t>
            </w:r>
            <w:r w:rsidR="00572698" w:rsidRPr="00C97606">
              <w:rPr>
                <w:rFonts w:ascii="Times New Roman" w:hAnsi="Times New Roman" w:cs="Times New Roman"/>
                <w:sz w:val="24"/>
                <w:szCs w:val="24"/>
              </w:rPr>
              <w:t>.</w:t>
            </w:r>
          </w:p>
          <w:p w14:paraId="2662A36E" w14:textId="2B35C6B2" w:rsidR="00572698" w:rsidRPr="00C97606" w:rsidRDefault="006516F0" w:rsidP="006B16FD">
            <w:pPr>
              <w:spacing w:after="0" w:line="240" w:lineRule="auto"/>
              <w:rPr>
                <w:rFonts w:ascii="Times New Roman" w:hAnsi="Times New Roman" w:cs="Times New Roman"/>
                <w:sz w:val="24"/>
                <w:szCs w:val="24"/>
              </w:rPr>
            </w:pPr>
            <w:r w:rsidRPr="00C97606">
              <w:rPr>
                <w:rFonts w:ascii="Times New Roman" w:hAnsi="Times New Roman" w:cs="Times New Roman"/>
                <w:sz w:val="24"/>
                <w:szCs w:val="24"/>
              </w:rPr>
              <w:t>2. Удосконалення нормативно-правової бази</w:t>
            </w:r>
            <w:r w:rsidR="00572698" w:rsidRPr="00C97606">
              <w:rPr>
                <w:rFonts w:ascii="Times New Roman" w:hAnsi="Times New Roman" w:cs="Times New Roman"/>
                <w:sz w:val="24"/>
                <w:szCs w:val="24"/>
              </w:rPr>
              <w:t>.</w:t>
            </w:r>
          </w:p>
          <w:p w14:paraId="3C6EDF9F" w14:textId="75F72C12" w:rsidR="000B42B5" w:rsidRPr="00C97606" w:rsidRDefault="006516F0" w:rsidP="006B16FD">
            <w:pPr>
              <w:spacing w:after="0" w:line="240" w:lineRule="auto"/>
              <w:rPr>
                <w:rFonts w:ascii="Times New Roman" w:hAnsi="Times New Roman" w:cs="Times New Roman"/>
                <w:sz w:val="24"/>
                <w:szCs w:val="24"/>
              </w:rPr>
            </w:pPr>
            <w:r w:rsidRPr="00C97606">
              <w:rPr>
                <w:rFonts w:ascii="Times New Roman" w:hAnsi="Times New Roman" w:cs="Times New Roman"/>
                <w:sz w:val="24"/>
                <w:szCs w:val="24"/>
              </w:rPr>
              <w:t>3. Створення умов для попередження порушень у роботі систем централізованого водовідведення та очищення стічних вод, підвищення ефективності роботи та забезпечення належної експлуатації систем водовідведення, а також охорони навколишнього природного середовища від забруднення скидами стічних вод, що в свою чергу є гарантуванням безпеки життя і здоров’я людини.</w:t>
            </w:r>
          </w:p>
        </w:tc>
        <w:tc>
          <w:tcPr>
            <w:tcW w:w="1991" w:type="dxa"/>
            <w:tcBorders>
              <w:top w:val="single" w:sz="4" w:space="0" w:color="auto"/>
              <w:left w:val="single" w:sz="4" w:space="0" w:color="auto"/>
              <w:bottom w:val="single" w:sz="4" w:space="0" w:color="auto"/>
              <w:right w:val="single" w:sz="4" w:space="0" w:color="auto"/>
            </w:tcBorders>
            <w:hideMark/>
          </w:tcPr>
          <w:p w14:paraId="0485BCAB" w14:textId="77777777" w:rsidR="000B42B5" w:rsidRPr="00C97606" w:rsidRDefault="000B42B5" w:rsidP="006B16FD">
            <w:pPr>
              <w:pStyle w:val="a6"/>
              <w:rPr>
                <w:lang w:val="uk-UA"/>
              </w:rPr>
            </w:pPr>
            <w:r w:rsidRPr="00C97606">
              <w:rPr>
                <w:lang w:val="uk-UA"/>
              </w:rPr>
              <w:t>Не вбачається</w:t>
            </w:r>
          </w:p>
        </w:tc>
        <w:tc>
          <w:tcPr>
            <w:tcW w:w="2120" w:type="dxa"/>
            <w:tcBorders>
              <w:top w:val="single" w:sz="4" w:space="0" w:color="auto"/>
              <w:left w:val="single" w:sz="4" w:space="0" w:color="auto"/>
              <w:bottom w:val="single" w:sz="4" w:space="0" w:color="auto"/>
              <w:right w:val="single" w:sz="4" w:space="0" w:color="auto"/>
            </w:tcBorders>
          </w:tcPr>
          <w:p w14:paraId="19A3A0CC" w14:textId="77777777" w:rsidR="000B42B5" w:rsidRPr="00C97606" w:rsidRDefault="000B42B5" w:rsidP="006B16FD">
            <w:pPr>
              <w:pStyle w:val="a6"/>
              <w:rPr>
                <w:rStyle w:val="2"/>
              </w:rPr>
            </w:pPr>
            <w:r w:rsidRPr="00C97606">
              <w:rPr>
                <w:rStyle w:val="2"/>
                <w:lang w:val="uk-UA"/>
              </w:rPr>
              <w:t>Затвердження цього регуляторного акт забезпечить досягнення встановлених цілей.</w:t>
            </w:r>
          </w:p>
          <w:p w14:paraId="355C8030" w14:textId="77777777" w:rsidR="000B42B5" w:rsidRPr="00C97606" w:rsidRDefault="000B42B5" w:rsidP="006B16FD">
            <w:pPr>
              <w:spacing w:after="0" w:line="240" w:lineRule="auto"/>
              <w:rPr>
                <w:rStyle w:val="2"/>
                <w:rFonts w:ascii="Times New Roman" w:hAnsi="Times New Roman" w:cs="Times New Roman"/>
                <w:sz w:val="24"/>
                <w:szCs w:val="24"/>
              </w:rPr>
            </w:pPr>
          </w:p>
        </w:tc>
      </w:tr>
    </w:tbl>
    <w:p w14:paraId="16EEE4D6" w14:textId="77777777" w:rsidR="000B42B5" w:rsidRDefault="000B42B5" w:rsidP="00986317">
      <w:pPr>
        <w:spacing w:after="0"/>
        <w:ind w:firstLine="567"/>
        <w:jc w:val="both"/>
        <w:rPr>
          <w:rFonts w:ascii="Times New Roman" w:hAnsi="Times New Roman" w:cs="Times New Roman"/>
          <w:b/>
          <w:bCs/>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3285"/>
        <w:gridCol w:w="3085"/>
      </w:tblGrid>
      <w:tr w:rsidR="00F44830" w:rsidRPr="00C97606" w14:paraId="71174AB9" w14:textId="77777777" w:rsidTr="00C97606">
        <w:tc>
          <w:tcPr>
            <w:tcW w:w="3123" w:type="dxa"/>
            <w:tcBorders>
              <w:top w:val="single" w:sz="4" w:space="0" w:color="auto"/>
              <w:left w:val="single" w:sz="4" w:space="0" w:color="auto"/>
              <w:bottom w:val="single" w:sz="4" w:space="0" w:color="auto"/>
              <w:right w:val="single" w:sz="4" w:space="0" w:color="auto"/>
            </w:tcBorders>
            <w:hideMark/>
          </w:tcPr>
          <w:p w14:paraId="65CD9F83" w14:textId="77777777" w:rsidR="00F44830" w:rsidRPr="00C97606" w:rsidRDefault="00F44830">
            <w:pPr>
              <w:pStyle w:val="a6"/>
              <w:rPr>
                <w:rFonts w:eastAsia="Calibri" w:cs="Calibri"/>
                <w:b/>
                <w:i/>
                <w:iCs/>
                <w:lang w:val="uk-UA" w:eastAsia="ar-SA"/>
              </w:rPr>
            </w:pPr>
            <w:r w:rsidRPr="00C97606">
              <w:rPr>
                <w:b/>
                <w:i/>
                <w:iCs/>
                <w:lang w:val="uk-UA"/>
              </w:rPr>
              <w:t>Рейтинг</w:t>
            </w:r>
          </w:p>
        </w:tc>
        <w:tc>
          <w:tcPr>
            <w:tcW w:w="3285" w:type="dxa"/>
            <w:tcBorders>
              <w:top w:val="single" w:sz="4" w:space="0" w:color="auto"/>
              <w:left w:val="single" w:sz="4" w:space="0" w:color="auto"/>
              <w:bottom w:val="single" w:sz="4" w:space="0" w:color="auto"/>
              <w:right w:val="single" w:sz="4" w:space="0" w:color="auto"/>
            </w:tcBorders>
            <w:hideMark/>
          </w:tcPr>
          <w:p w14:paraId="1C6D4028" w14:textId="77777777" w:rsidR="00F44830" w:rsidRPr="00C97606" w:rsidRDefault="00F44830">
            <w:pPr>
              <w:pStyle w:val="a6"/>
              <w:rPr>
                <w:rFonts w:eastAsia="Calibri" w:cs="Calibri"/>
                <w:b/>
                <w:i/>
                <w:iCs/>
                <w:lang w:val="uk-UA" w:eastAsia="ar-SA"/>
              </w:rPr>
            </w:pPr>
            <w:r w:rsidRPr="00C97606">
              <w:rPr>
                <w:b/>
                <w:i/>
                <w:iCs/>
                <w:lang w:val="uk-UA"/>
              </w:rPr>
              <w:t>Аргументи щодо переваги обраної альтернативи / причини відмови від альтернативи</w:t>
            </w:r>
          </w:p>
        </w:tc>
        <w:tc>
          <w:tcPr>
            <w:tcW w:w="3085" w:type="dxa"/>
            <w:tcBorders>
              <w:top w:val="single" w:sz="4" w:space="0" w:color="auto"/>
              <w:left w:val="single" w:sz="4" w:space="0" w:color="auto"/>
              <w:bottom w:val="single" w:sz="4" w:space="0" w:color="auto"/>
              <w:right w:val="single" w:sz="4" w:space="0" w:color="auto"/>
            </w:tcBorders>
            <w:hideMark/>
          </w:tcPr>
          <w:p w14:paraId="2642F0A9" w14:textId="77777777" w:rsidR="00F44830" w:rsidRPr="00C97606" w:rsidRDefault="00F44830">
            <w:pPr>
              <w:pStyle w:val="a6"/>
              <w:rPr>
                <w:rFonts w:eastAsia="Calibri" w:cs="Calibri"/>
                <w:b/>
                <w:i/>
                <w:iCs/>
                <w:lang w:val="uk-UA" w:eastAsia="ar-SA"/>
              </w:rPr>
            </w:pPr>
            <w:r w:rsidRPr="00C97606">
              <w:rPr>
                <w:b/>
                <w:i/>
                <w:iCs/>
                <w:lang w:val="uk-UA"/>
              </w:rPr>
              <w:t>Оцінка ризику зовнішніх чинників на дію запропонованого регуляторного акту</w:t>
            </w:r>
          </w:p>
        </w:tc>
      </w:tr>
      <w:tr w:rsidR="00F44830" w:rsidRPr="00C97606" w14:paraId="49812E6E" w14:textId="77777777" w:rsidTr="00C97606">
        <w:tc>
          <w:tcPr>
            <w:tcW w:w="3123" w:type="dxa"/>
            <w:tcBorders>
              <w:top w:val="single" w:sz="4" w:space="0" w:color="auto"/>
              <w:left w:val="single" w:sz="4" w:space="0" w:color="auto"/>
              <w:bottom w:val="single" w:sz="4" w:space="0" w:color="auto"/>
              <w:right w:val="single" w:sz="4" w:space="0" w:color="auto"/>
            </w:tcBorders>
            <w:hideMark/>
          </w:tcPr>
          <w:p w14:paraId="259A986A" w14:textId="77777777" w:rsidR="00F44830" w:rsidRPr="00C97606" w:rsidRDefault="00F44830">
            <w:pPr>
              <w:pStyle w:val="a6"/>
              <w:rPr>
                <w:rFonts w:eastAsia="Calibri" w:cs="Calibri"/>
                <w:lang w:eastAsia="ar-SA"/>
              </w:rPr>
            </w:pPr>
            <w:r w:rsidRPr="00C97606">
              <w:rPr>
                <w:rStyle w:val="2"/>
                <w:lang w:val="uk-UA"/>
              </w:rPr>
              <w:lastRenderedPageBreak/>
              <w:t>Залишення існуючої на даний момент ситуації без змін</w:t>
            </w:r>
          </w:p>
        </w:tc>
        <w:tc>
          <w:tcPr>
            <w:tcW w:w="3285" w:type="dxa"/>
            <w:tcBorders>
              <w:top w:val="single" w:sz="4" w:space="0" w:color="auto"/>
              <w:left w:val="single" w:sz="4" w:space="0" w:color="auto"/>
              <w:bottom w:val="single" w:sz="4" w:space="0" w:color="auto"/>
              <w:right w:val="single" w:sz="4" w:space="0" w:color="auto"/>
            </w:tcBorders>
            <w:hideMark/>
          </w:tcPr>
          <w:p w14:paraId="36D5E211" w14:textId="77777777" w:rsidR="00F44830" w:rsidRPr="00C97606" w:rsidRDefault="00F44830">
            <w:pPr>
              <w:pStyle w:val="a8"/>
              <w:tabs>
                <w:tab w:val="left" w:pos="3199"/>
              </w:tabs>
              <w:ind w:left="-41" w:right="-24"/>
              <w:rPr>
                <w:sz w:val="24"/>
                <w:szCs w:val="24"/>
                <w:lang w:val="uk-UA"/>
              </w:rPr>
            </w:pPr>
            <w:r w:rsidRPr="00C97606">
              <w:rPr>
                <w:sz w:val="24"/>
                <w:szCs w:val="24"/>
                <w:lang w:val="uk-UA"/>
              </w:rPr>
              <w:t>Не забезпечується досягнення цілей щодо регулювання прав та обов'язків суб'єктів у сфері користування послугами централізованого водовідведення.</w:t>
            </w:r>
          </w:p>
        </w:tc>
        <w:tc>
          <w:tcPr>
            <w:tcW w:w="3085" w:type="dxa"/>
            <w:tcBorders>
              <w:top w:val="single" w:sz="4" w:space="0" w:color="auto"/>
              <w:left w:val="single" w:sz="4" w:space="0" w:color="auto"/>
              <w:bottom w:val="single" w:sz="4" w:space="0" w:color="auto"/>
              <w:right w:val="single" w:sz="4" w:space="0" w:color="auto"/>
            </w:tcBorders>
            <w:hideMark/>
          </w:tcPr>
          <w:p w14:paraId="464E6B8F" w14:textId="77777777" w:rsidR="00F44830" w:rsidRPr="00C97606" w:rsidRDefault="00F44830">
            <w:pPr>
              <w:pStyle w:val="a6"/>
              <w:rPr>
                <w:rFonts w:eastAsia="Calibri" w:cs="Calibri"/>
                <w:lang w:val="uk-UA" w:eastAsia="ar-SA"/>
              </w:rPr>
            </w:pPr>
            <w:r w:rsidRPr="00C97606">
              <w:rPr>
                <w:rFonts w:eastAsia="Calibri" w:cs="Calibri"/>
                <w:lang w:val="uk-UA" w:eastAsia="ar-SA"/>
              </w:rPr>
              <w:t>Не забезпечення стабільної роботи очисних споруд каналізації, порушення Дозволу на спеціальне водокористування , порушення природоохоронного законодавства</w:t>
            </w:r>
          </w:p>
        </w:tc>
      </w:tr>
      <w:tr w:rsidR="00F44830" w:rsidRPr="00C97606" w14:paraId="6BB8EF1E" w14:textId="77777777" w:rsidTr="00C97606">
        <w:tc>
          <w:tcPr>
            <w:tcW w:w="3123" w:type="dxa"/>
            <w:tcBorders>
              <w:top w:val="single" w:sz="4" w:space="0" w:color="auto"/>
              <w:left w:val="single" w:sz="4" w:space="0" w:color="auto"/>
              <w:bottom w:val="single" w:sz="4" w:space="0" w:color="auto"/>
              <w:right w:val="single" w:sz="4" w:space="0" w:color="auto"/>
            </w:tcBorders>
            <w:hideMark/>
          </w:tcPr>
          <w:p w14:paraId="7BDF17DC" w14:textId="1002FACF" w:rsidR="00F44830" w:rsidRPr="00C97606" w:rsidRDefault="00F44830">
            <w:pPr>
              <w:pStyle w:val="a6"/>
              <w:rPr>
                <w:rFonts w:eastAsia="Calibri" w:cs="Calibri"/>
                <w:lang w:eastAsia="ar-SA"/>
              </w:rPr>
            </w:pPr>
            <w:r w:rsidRPr="00C97606">
              <w:rPr>
                <w:rStyle w:val="2"/>
                <w:lang w:val="uk-UA"/>
              </w:rPr>
              <w:t>Прийняття розробленого про</w:t>
            </w:r>
            <w:r w:rsidR="006264ED" w:rsidRPr="00C97606">
              <w:rPr>
                <w:rStyle w:val="2"/>
                <w:lang w:val="uk-UA"/>
              </w:rPr>
              <w:t>є</w:t>
            </w:r>
            <w:r w:rsidRPr="00C97606">
              <w:rPr>
                <w:rStyle w:val="2"/>
                <w:lang w:val="uk-UA"/>
              </w:rPr>
              <w:t>кту регуляторного акту</w:t>
            </w:r>
          </w:p>
        </w:tc>
        <w:tc>
          <w:tcPr>
            <w:tcW w:w="3285" w:type="dxa"/>
            <w:tcBorders>
              <w:top w:val="single" w:sz="4" w:space="0" w:color="auto"/>
              <w:left w:val="single" w:sz="4" w:space="0" w:color="auto"/>
              <w:bottom w:val="single" w:sz="4" w:space="0" w:color="auto"/>
              <w:right w:val="single" w:sz="4" w:space="0" w:color="auto"/>
            </w:tcBorders>
          </w:tcPr>
          <w:p w14:paraId="38A35453" w14:textId="77777777" w:rsidR="00F44830" w:rsidRPr="00C97606" w:rsidRDefault="00F44830">
            <w:pPr>
              <w:pStyle w:val="a6"/>
              <w:jc w:val="both"/>
            </w:pPr>
            <w:r w:rsidRPr="00C97606">
              <w:rPr>
                <w:rStyle w:val="2"/>
                <w:lang w:val="uk-UA"/>
              </w:rPr>
              <w:t xml:space="preserve">У разі прийняття регуляторного акту, для міста вигода полягатиме в створенні умов для попередження порушень у роботі систем централізованого водовідведення, підвищення ефективності роботи та забезпечення належної експлуатації систем водовідведення, а також охорони навколишнього природного середовища від забруднення скидами стічних вод, що в свою чергу є гарантуванням безпеки життя і здоров’я людини. Тому обраним альтернативним способом вирішення проблеми є розроблення регуляторного акту. </w:t>
            </w:r>
          </w:p>
        </w:tc>
        <w:tc>
          <w:tcPr>
            <w:tcW w:w="3085" w:type="dxa"/>
            <w:tcBorders>
              <w:top w:val="single" w:sz="4" w:space="0" w:color="auto"/>
              <w:left w:val="single" w:sz="4" w:space="0" w:color="auto"/>
              <w:bottom w:val="single" w:sz="4" w:space="0" w:color="auto"/>
              <w:right w:val="single" w:sz="4" w:space="0" w:color="auto"/>
            </w:tcBorders>
          </w:tcPr>
          <w:p w14:paraId="6CE6C24D" w14:textId="77777777" w:rsidR="00F44830" w:rsidRPr="00C97606" w:rsidRDefault="00F44830" w:rsidP="00F44830">
            <w:pPr>
              <w:pStyle w:val="a6"/>
              <w:rPr>
                <w:rFonts w:eastAsia="Calibri" w:cs="Calibri"/>
                <w:lang w:val="uk-UA" w:eastAsia="ar-SA"/>
              </w:rPr>
            </w:pPr>
            <w:r w:rsidRPr="00C97606">
              <w:rPr>
                <w:rFonts w:eastAsia="Calibri" w:cs="Calibri"/>
                <w:lang w:val="uk-UA" w:eastAsia="ar-SA"/>
              </w:rPr>
              <w:t>Зовнішні чинники на дію регуляторного акту відсутні</w:t>
            </w:r>
          </w:p>
        </w:tc>
      </w:tr>
    </w:tbl>
    <w:p w14:paraId="30BA4883" w14:textId="77777777" w:rsidR="00F44830" w:rsidRDefault="00F44830" w:rsidP="00986317">
      <w:pPr>
        <w:spacing w:after="0"/>
        <w:ind w:firstLine="567"/>
        <w:jc w:val="both"/>
        <w:rPr>
          <w:rFonts w:ascii="Times New Roman" w:hAnsi="Times New Roman" w:cs="Times New Roman"/>
          <w:b/>
          <w:bCs/>
          <w:sz w:val="28"/>
          <w:szCs w:val="28"/>
        </w:rPr>
      </w:pPr>
    </w:p>
    <w:p w14:paraId="757C91BE" w14:textId="77777777" w:rsidR="0018092D" w:rsidRPr="0018092D" w:rsidRDefault="0018092D" w:rsidP="006B16FD">
      <w:pPr>
        <w:spacing w:after="0" w:line="240" w:lineRule="auto"/>
        <w:ind w:firstLine="567"/>
        <w:jc w:val="center"/>
        <w:rPr>
          <w:rFonts w:ascii="Times New Roman" w:hAnsi="Times New Roman" w:cs="Times New Roman"/>
          <w:b/>
          <w:bCs/>
          <w:sz w:val="28"/>
          <w:szCs w:val="28"/>
        </w:rPr>
      </w:pPr>
      <w:r w:rsidRPr="0018092D">
        <w:rPr>
          <w:rFonts w:ascii="Times New Roman" w:hAnsi="Times New Roman" w:cs="Times New Roman"/>
          <w:b/>
          <w:bCs/>
          <w:sz w:val="28"/>
          <w:szCs w:val="28"/>
        </w:rPr>
        <w:t>5. Механізми та заходи, що пропонуються для розв’язання проблеми.</w:t>
      </w:r>
    </w:p>
    <w:p w14:paraId="46F02327" w14:textId="4342F02D" w:rsidR="0018092D" w:rsidRDefault="0018092D" w:rsidP="006B16FD">
      <w:pPr>
        <w:spacing w:after="0" w:line="240" w:lineRule="auto"/>
        <w:ind w:firstLine="567"/>
        <w:jc w:val="both"/>
        <w:rPr>
          <w:rFonts w:ascii="Times New Roman" w:hAnsi="Times New Roman" w:cs="Times New Roman"/>
          <w:sz w:val="28"/>
          <w:szCs w:val="28"/>
        </w:rPr>
      </w:pPr>
      <w:r w:rsidRPr="0018092D">
        <w:rPr>
          <w:rFonts w:ascii="Times New Roman" w:hAnsi="Times New Roman" w:cs="Times New Roman"/>
          <w:sz w:val="28"/>
          <w:szCs w:val="28"/>
        </w:rPr>
        <w:t>Про</w:t>
      </w:r>
      <w:r w:rsidR="003056B9">
        <w:rPr>
          <w:rFonts w:ascii="Times New Roman" w:hAnsi="Times New Roman" w:cs="Times New Roman"/>
          <w:sz w:val="28"/>
          <w:szCs w:val="28"/>
        </w:rPr>
        <w:t>є</w:t>
      </w:r>
      <w:r w:rsidRPr="0018092D">
        <w:rPr>
          <w:rFonts w:ascii="Times New Roman" w:hAnsi="Times New Roman" w:cs="Times New Roman"/>
          <w:sz w:val="28"/>
          <w:szCs w:val="28"/>
        </w:rPr>
        <w:t>ктом регуляторного акту визначаються права та обов'язки споживачів та виробників послуг з централізованого водовідведення, врегульовуються і питання відповідальності за порушення вимог законодавства, а також затвердження Порядку визначення розміру плати за скид стічних вод до систем централізованого водовідведення при порушенні вимог щодо якості і режиму їх скидання. Укладання відповідних договорів між суб’єктами господарювання та підприємствами водопровідно-каналізаційного господарства. Встановлення терміну на реалізацію заходів з якості доведення стічних вод для суб’єктів господарювання, які в супереч діючому законодавству не мають локальних очисних споруд та встановлення розміру додаткової оплати за приймання понаднормативне забруднених стоків до системи централізованого водовідведення при порушенні вимог щодо якості режиму їх скидання.</w:t>
      </w:r>
    </w:p>
    <w:p w14:paraId="05817633" w14:textId="77777777" w:rsidR="0018092D" w:rsidRDefault="0018092D" w:rsidP="006B16FD">
      <w:pPr>
        <w:spacing w:after="0" w:line="240" w:lineRule="auto"/>
        <w:ind w:firstLine="567"/>
        <w:jc w:val="both"/>
        <w:rPr>
          <w:rFonts w:ascii="Times New Roman" w:hAnsi="Times New Roman" w:cs="Times New Roman"/>
          <w:sz w:val="28"/>
          <w:szCs w:val="28"/>
        </w:rPr>
      </w:pPr>
    </w:p>
    <w:p w14:paraId="52A02CA3" w14:textId="77777777" w:rsidR="0018092D" w:rsidRPr="0018092D" w:rsidRDefault="0018092D" w:rsidP="006B16FD">
      <w:pPr>
        <w:spacing w:after="0" w:line="240" w:lineRule="auto"/>
        <w:ind w:firstLine="567"/>
        <w:jc w:val="center"/>
        <w:rPr>
          <w:rFonts w:ascii="Times New Roman" w:hAnsi="Times New Roman" w:cs="Times New Roman"/>
          <w:b/>
          <w:bCs/>
          <w:sz w:val="28"/>
          <w:szCs w:val="28"/>
        </w:rPr>
      </w:pPr>
      <w:r w:rsidRPr="0018092D">
        <w:rPr>
          <w:rFonts w:ascii="Times New Roman" w:hAnsi="Times New Roman" w:cs="Times New Roman"/>
          <w:b/>
          <w:bCs/>
          <w:sz w:val="28"/>
          <w:szCs w:val="28"/>
        </w:rPr>
        <w:t xml:space="preserve">6. Оцінка виконання вимог регуляторного </w:t>
      </w:r>
      <w:proofErr w:type="spellStart"/>
      <w:r w:rsidRPr="0018092D">
        <w:rPr>
          <w:rFonts w:ascii="Times New Roman" w:hAnsi="Times New Roman" w:cs="Times New Roman"/>
          <w:b/>
          <w:bCs/>
          <w:sz w:val="28"/>
          <w:szCs w:val="28"/>
        </w:rPr>
        <w:t>акта</w:t>
      </w:r>
      <w:proofErr w:type="spellEnd"/>
      <w:r w:rsidRPr="0018092D">
        <w:rPr>
          <w:rFonts w:ascii="Times New Roman" w:hAnsi="Times New Roman" w:cs="Times New Roman"/>
          <w:b/>
          <w:bCs/>
          <w:sz w:val="28"/>
          <w:szCs w:val="28"/>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65DD4633" w14:textId="3349F70E" w:rsidR="0018092D" w:rsidRDefault="0018092D" w:rsidP="006B16FD">
      <w:pPr>
        <w:spacing w:after="0" w:line="240" w:lineRule="auto"/>
        <w:ind w:firstLine="567"/>
        <w:jc w:val="both"/>
        <w:rPr>
          <w:rFonts w:ascii="Times New Roman" w:hAnsi="Times New Roman" w:cs="Times New Roman"/>
          <w:sz w:val="28"/>
          <w:szCs w:val="28"/>
        </w:rPr>
      </w:pPr>
      <w:r w:rsidRPr="0018092D">
        <w:rPr>
          <w:rFonts w:ascii="Times New Roman" w:hAnsi="Times New Roman" w:cs="Times New Roman"/>
          <w:sz w:val="28"/>
          <w:szCs w:val="28"/>
        </w:rPr>
        <w:lastRenderedPageBreak/>
        <w:t xml:space="preserve">Для впровадження вимог цього регуляторного акту не потрібно додаткових витрат з бюджету. Місцеве регулювання не передбачає утворення нового органу виконавчої влади (або нового структурного підрозділу діючого органу). Досягнення цілей не передбачає додаткових організаційних заходів. Прийняття акту не призведе до неочікуваних результатів і не потребуватиме додаткових витрат з міського бюджету. Можлива шкода у разі очікуваних наслідків дії </w:t>
      </w:r>
      <w:proofErr w:type="spellStart"/>
      <w:r w:rsidRPr="0018092D">
        <w:rPr>
          <w:rFonts w:ascii="Times New Roman" w:hAnsi="Times New Roman" w:cs="Times New Roman"/>
          <w:sz w:val="28"/>
          <w:szCs w:val="28"/>
        </w:rPr>
        <w:t>акта</w:t>
      </w:r>
      <w:proofErr w:type="spellEnd"/>
      <w:r w:rsidRPr="0018092D">
        <w:rPr>
          <w:rFonts w:ascii="Times New Roman" w:hAnsi="Times New Roman" w:cs="Times New Roman"/>
          <w:sz w:val="28"/>
          <w:szCs w:val="28"/>
        </w:rPr>
        <w:t xml:space="preserve"> не прогнозується.</w:t>
      </w:r>
    </w:p>
    <w:p w14:paraId="74DAFC53" w14:textId="77777777" w:rsidR="0018092D" w:rsidRDefault="0018092D" w:rsidP="00986317">
      <w:pPr>
        <w:spacing w:after="0"/>
        <w:ind w:firstLine="567"/>
        <w:jc w:val="both"/>
        <w:rPr>
          <w:rFonts w:ascii="Times New Roman" w:hAnsi="Times New Roman" w:cs="Times New Roman"/>
          <w:sz w:val="28"/>
          <w:szCs w:val="28"/>
        </w:rPr>
      </w:pPr>
    </w:p>
    <w:p w14:paraId="100EE847" w14:textId="77777777" w:rsidR="0018092D" w:rsidRPr="0018092D" w:rsidRDefault="0018092D" w:rsidP="006B16FD">
      <w:pPr>
        <w:shd w:val="clear" w:color="auto" w:fill="FFFFFF"/>
        <w:spacing w:after="0" w:line="240" w:lineRule="auto"/>
        <w:ind w:right="90" w:firstLine="540"/>
        <w:jc w:val="center"/>
        <w:rPr>
          <w:rFonts w:ascii="Times New Roman" w:hAnsi="Times New Roman" w:cs="Times New Roman"/>
          <w:b/>
          <w:spacing w:val="4"/>
          <w:sz w:val="28"/>
          <w:szCs w:val="28"/>
        </w:rPr>
      </w:pPr>
      <w:r w:rsidRPr="0018092D">
        <w:rPr>
          <w:rFonts w:ascii="Times New Roman" w:hAnsi="Times New Roman" w:cs="Times New Roman"/>
          <w:b/>
          <w:bCs/>
          <w:sz w:val="28"/>
          <w:szCs w:val="28"/>
        </w:rPr>
        <w:t xml:space="preserve">7. </w:t>
      </w:r>
      <w:r w:rsidRPr="0018092D">
        <w:rPr>
          <w:rFonts w:ascii="Times New Roman" w:hAnsi="Times New Roman" w:cs="Times New Roman"/>
          <w:b/>
          <w:spacing w:val="4"/>
          <w:sz w:val="28"/>
          <w:szCs w:val="28"/>
        </w:rPr>
        <w:t>Обґрунтування строку дії запропонованого регуляторного акту.</w:t>
      </w:r>
    </w:p>
    <w:p w14:paraId="26F1A377" w14:textId="77777777" w:rsidR="0018092D" w:rsidRPr="0018092D" w:rsidRDefault="0018092D" w:rsidP="006B16FD">
      <w:pPr>
        <w:pStyle w:val="a4"/>
        <w:ind w:firstLine="567"/>
        <w:jc w:val="both"/>
        <w:rPr>
          <w:sz w:val="28"/>
          <w:szCs w:val="28"/>
        </w:rPr>
      </w:pPr>
      <w:r w:rsidRPr="0018092D">
        <w:rPr>
          <w:sz w:val="28"/>
          <w:szCs w:val="28"/>
        </w:rPr>
        <w:t>Обмеження строку дії акт</w:t>
      </w:r>
      <w:r>
        <w:rPr>
          <w:sz w:val="28"/>
          <w:szCs w:val="28"/>
        </w:rPr>
        <w:t>у</w:t>
      </w:r>
      <w:r w:rsidRPr="0018092D">
        <w:rPr>
          <w:sz w:val="28"/>
          <w:szCs w:val="28"/>
        </w:rPr>
        <w:t xml:space="preserve"> немає. </w:t>
      </w:r>
    </w:p>
    <w:p w14:paraId="1F18E480" w14:textId="58B79D3D" w:rsidR="0018092D" w:rsidRPr="0018092D" w:rsidRDefault="0018092D" w:rsidP="006B16FD">
      <w:pPr>
        <w:pStyle w:val="a4"/>
        <w:ind w:firstLine="567"/>
        <w:jc w:val="both"/>
        <w:rPr>
          <w:sz w:val="28"/>
          <w:szCs w:val="28"/>
        </w:rPr>
      </w:pPr>
      <w:r w:rsidRPr="0018092D">
        <w:rPr>
          <w:sz w:val="28"/>
          <w:szCs w:val="28"/>
        </w:rPr>
        <w:t>Структура запропонованого про</w:t>
      </w:r>
      <w:r w:rsidR="003056B9">
        <w:rPr>
          <w:sz w:val="28"/>
          <w:szCs w:val="28"/>
        </w:rPr>
        <w:t>є</w:t>
      </w:r>
      <w:r w:rsidRPr="0018092D">
        <w:rPr>
          <w:sz w:val="28"/>
          <w:szCs w:val="28"/>
        </w:rPr>
        <w:t>кту рішення розроблена з урахуванням можливості доповнення або внесення змін до нього у разі зміни чинного законодавства України.</w:t>
      </w:r>
    </w:p>
    <w:p w14:paraId="1902B4EE" w14:textId="77777777" w:rsidR="0018092D" w:rsidRDefault="0018092D" w:rsidP="006B16FD">
      <w:pPr>
        <w:spacing w:after="0" w:line="240" w:lineRule="auto"/>
        <w:ind w:firstLine="567"/>
        <w:jc w:val="both"/>
        <w:rPr>
          <w:rFonts w:ascii="Times New Roman" w:hAnsi="Times New Roman" w:cs="Times New Roman"/>
          <w:sz w:val="28"/>
          <w:szCs w:val="28"/>
        </w:rPr>
      </w:pPr>
    </w:p>
    <w:p w14:paraId="17E3CB4E" w14:textId="7A04CE2D" w:rsidR="0018092D" w:rsidRDefault="0018092D" w:rsidP="006B16FD">
      <w:pPr>
        <w:spacing w:after="0" w:line="240" w:lineRule="auto"/>
        <w:ind w:firstLine="567"/>
        <w:jc w:val="center"/>
        <w:rPr>
          <w:rFonts w:ascii="Times New Roman" w:hAnsi="Times New Roman" w:cs="Times New Roman"/>
          <w:sz w:val="28"/>
          <w:szCs w:val="28"/>
        </w:rPr>
      </w:pPr>
      <w:r w:rsidRPr="0018092D">
        <w:rPr>
          <w:rFonts w:ascii="Times New Roman" w:hAnsi="Times New Roman" w:cs="Times New Roman"/>
          <w:b/>
          <w:bCs/>
          <w:sz w:val="28"/>
          <w:szCs w:val="28"/>
        </w:rPr>
        <w:t>8. Визначення показників результативності дії регуляторного акт</w:t>
      </w:r>
      <w:r>
        <w:rPr>
          <w:rFonts w:ascii="Times New Roman" w:hAnsi="Times New Roman" w:cs="Times New Roman"/>
          <w:b/>
          <w:bCs/>
          <w:sz w:val="28"/>
          <w:szCs w:val="28"/>
        </w:rPr>
        <w:t>у</w:t>
      </w:r>
      <w:r w:rsidRPr="0018092D">
        <w:rPr>
          <w:rFonts w:ascii="Times New Roman" w:hAnsi="Times New Roman" w:cs="Times New Roman"/>
          <w:sz w:val="28"/>
          <w:szCs w:val="28"/>
        </w:rPr>
        <w:t>.</w:t>
      </w:r>
    </w:p>
    <w:p w14:paraId="18FB35B2" w14:textId="77777777" w:rsidR="0018092D" w:rsidRDefault="0018092D" w:rsidP="006B16FD">
      <w:pPr>
        <w:spacing w:after="0" w:line="240" w:lineRule="auto"/>
        <w:ind w:firstLine="567"/>
        <w:jc w:val="both"/>
        <w:rPr>
          <w:rFonts w:ascii="Times New Roman" w:hAnsi="Times New Roman" w:cs="Times New Roman"/>
          <w:sz w:val="28"/>
          <w:szCs w:val="28"/>
        </w:rPr>
      </w:pPr>
      <w:r w:rsidRPr="0018092D">
        <w:rPr>
          <w:rFonts w:ascii="Times New Roman" w:hAnsi="Times New Roman" w:cs="Times New Roman"/>
          <w:sz w:val="28"/>
          <w:szCs w:val="28"/>
        </w:rPr>
        <w:t>Кількісними показниками результативності дії регуляторного акт</w:t>
      </w:r>
      <w:r>
        <w:rPr>
          <w:rFonts w:ascii="Times New Roman" w:hAnsi="Times New Roman" w:cs="Times New Roman"/>
          <w:sz w:val="28"/>
          <w:szCs w:val="28"/>
        </w:rPr>
        <w:t>у</w:t>
      </w:r>
      <w:r w:rsidRPr="0018092D">
        <w:rPr>
          <w:rFonts w:ascii="Times New Roman" w:hAnsi="Times New Roman" w:cs="Times New Roman"/>
          <w:sz w:val="28"/>
          <w:szCs w:val="28"/>
        </w:rPr>
        <w:t xml:space="preserve"> є: </w:t>
      </w:r>
    </w:p>
    <w:p w14:paraId="7847B6A4" w14:textId="77777777" w:rsidR="0018092D" w:rsidRDefault="0018092D" w:rsidP="006B16FD">
      <w:pPr>
        <w:spacing w:after="0" w:line="240" w:lineRule="auto"/>
        <w:ind w:firstLine="567"/>
        <w:jc w:val="both"/>
        <w:rPr>
          <w:rFonts w:ascii="Times New Roman" w:hAnsi="Times New Roman" w:cs="Times New Roman"/>
          <w:sz w:val="28"/>
          <w:szCs w:val="28"/>
        </w:rPr>
      </w:pPr>
      <w:r w:rsidRPr="0018092D">
        <w:rPr>
          <w:rFonts w:ascii="Times New Roman" w:hAnsi="Times New Roman" w:cs="Times New Roman"/>
          <w:sz w:val="28"/>
          <w:szCs w:val="28"/>
        </w:rPr>
        <w:t>- кількість систематичних обстежень та здійснених лабораторних досліджень щодо дотримання величин ДК забруднюючих речовин у стічних водах споживачів при водовідведенні у міську каналізаційну мережу відповідно до Правил приймання стічних вод до систем централізованого водовідведення Вишневої територіальної громади;</w:t>
      </w:r>
    </w:p>
    <w:p w14:paraId="7236AEA1" w14:textId="77777777" w:rsidR="0018092D" w:rsidRDefault="0018092D" w:rsidP="006B16FD">
      <w:pPr>
        <w:spacing w:after="0" w:line="240" w:lineRule="auto"/>
        <w:ind w:firstLine="567"/>
        <w:jc w:val="both"/>
        <w:rPr>
          <w:rFonts w:ascii="Times New Roman" w:hAnsi="Times New Roman" w:cs="Times New Roman"/>
          <w:sz w:val="28"/>
          <w:szCs w:val="28"/>
        </w:rPr>
      </w:pPr>
      <w:r w:rsidRPr="0018092D">
        <w:rPr>
          <w:rFonts w:ascii="Times New Roman" w:hAnsi="Times New Roman" w:cs="Times New Roman"/>
          <w:sz w:val="28"/>
          <w:szCs w:val="28"/>
        </w:rPr>
        <w:t xml:space="preserve"> - кількість виявлених порушень в частині наднормативного та понадлімітного скиду забруднюючих речовин у систему централізованого водовідведення та виконання вимог Правил приймання стічних вод у систему каналізації </w:t>
      </w:r>
      <w:r>
        <w:rPr>
          <w:rFonts w:ascii="Times New Roman" w:hAnsi="Times New Roman" w:cs="Times New Roman"/>
          <w:sz w:val="28"/>
          <w:szCs w:val="28"/>
        </w:rPr>
        <w:t xml:space="preserve">Бучанської міської </w:t>
      </w:r>
      <w:r w:rsidRPr="0018092D">
        <w:rPr>
          <w:rFonts w:ascii="Times New Roman" w:hAnsi="Times New Roman" w:cs="Times New Roman"/>
          <w:sz w:val="28"/>
          <w:szCs w:val="28"/>
        </w:rPr>
        <w:t xml:space="preserve"> територіальної громади. </w:t>
      </w:r>
    </w:p>
    <w:p w14:paraId="36D65CD6" w14:textId="77777777" w:rsidR="0018092D" w:rsidRDefault="0018092D" w:rsidP="006B16FD">
      <w:pPr>
        <w:spacing w:after="0" w:line="240" w:lineRule="auto"/>
        <w:ind w:firstLine="567"/>
        <w:jc w:val="both"/>
        <w:rPr>
          <w:rFonts w:ascii="Times New Roman" w:hAnsi="Times New Roman" w:cs="Times New Roman"/>
          <w:sz w:val="28"/>
          <w:szCs w:val="28"/>
        </w:rPr>
      </w:pPr>
      <w:r w:rsidRPr="0018092D">
        <w:rPr>
          <w:rFonts w:ascii="Times New Roman" w:hAnsi="Times New Roman" w:cs="Times New Roman"/>
          <w:sz w:val="28"/>
          <w:szCs w:val="28"/>
        </w:rPr>
        <w:t>Якісними показниками результативності дії регуляторного акт</w:t>
      </w:r>
      <w:r>
        <w:rPr>
          <w:rFonts w:ascii="Times New Roman" w:hAnsi="Times New Roman" w:cs="Times New Roman"/>
          <w:sz w:val="28"/>
          <w:szCs w:val="28"/>
        </w:rPr>
        <w:t>у</w:t>
      </w:r>
      <w:r w:rsidRPr="0018092D">
        <w:rPr>
          <w:rFonts w:ascii="Times New Roman" w:hAnsi="Times New Roman" w:cs="Times New Roman"/>
          <w:sz w:val="28"/>
          <w:szCs w:val="28"/>
        </w:rPr>
        <w:t xml:space="preserve"> є:</w:t>
      </w:r>
    </w:p>
    <w:p w14:paraId="58B44B71" w14:textId="77777777" w:rsidR="0018092D" w:rsidRDefault="0018092D" w:rsidP="006B16FD">
      <w:pPr>
        <w:spacing w:after="0" w:line="240" w:lineRule="auto"/>
        <w:ind w:firstLine="567"/>
        <w:jc w:val="both"/>
        <w:rPr>
          <w:rFonts w:ascii="Times New Roman" w:hAnsi="Times New Roman" w:cs="Times New Roman"/>
          <w:sz w:val="28"/>
          <w:szCs w:val="28"/>
        </w:rPr>
      </w:pPr>
      <w:r w:rsidRPr="0018092D">
        <w:rPr>
          <w:rFonts w:ascii="Times New Roman" w:hAnsi="Times New Roman" w:cs="Times New Roman"/>
          <w:sz w:val="28"/>
          <w:szCs w:val="28"/>
        </w:rPr>
        <w:t xml:space="preserve"> - забезпечення охорони навколишнього природного середовища від забруднення скидами стічних вод споживачів;</w:t>
      </w:r>
    </w:p>
    <w:p w14:paraId="17BF15C1" w14:textId="77777777" w:rsidR="0018092D" w:rsidRDefault="0018092D" w:rsidP="006B16FD">
      <w:pPr>
        <w:spacing w:after="0" w:line="240" w:lineRule="auto"/>
        <w:ind w:firstLine="567"/>
        <w:jc w:val="both"/>
        <w:rPr>
          <w:rFonts w:ascii="Times New Roman" w:hAnsi="Times New Roman" w:cs="Times New Roman"/>
          <w:sz w:val="28"/>
          <w:szCs w:val="28"/>
        </w:rPr>
      </w:pPr>
      <w:r w:rsidRPr="0018092D">
        <w:rPr>
          <w:rFonts w:ascii="Times New Roman" w:hAnsi="Times New Roman" w:cs="Times New Roman"/>
          <w:sz w:val="28"/>
          <w:szCs w:val="28"/>
        </w:rPr>
        <w:t xml:space="preserve"> - рівень поінформованості суб’єктів господарювання з основними положеннями акту.</w:t>
      </w:r>
    </w:p>
    <w:p w14:paraId="18B24F94" w14:textId="77777777" w:rsidR="0018092D" w:rsidRDefault="0018092D" w:rsidP="006B16FD">
      <w:pPr>
        <w:spacing w:after="0" w:line="240" w:lineRule="auto"/>
        <w:ind w:firstLine="567"/>
        <w:jc w:val="both"/>
        <w:rPr>
          <w:rFonts w:ascii="Times New Roman" w:hAnsi="Times New Roman" w:cs="Times New Roman"/>
          <w:sz w:val="28"/>
          <w:szCs w:val="28"/>
        </w:rPr>
      </w:pPr>
    </w:p>
    <w:p w14:paraId="0BA398AA" w14:textId="2566A0C4" w:rsidR="0018092D" w:rsidRDefault="0018092D" w:rsidP="006B16FD">
      <w:pPr>
        <w:spacing w:after="0" w:line="240" w:lineRule="auto"/>
        <w:ind w:firstLine="567"/>
        <w:jc w:val="center"/>
        <w:rPr>
          <w:rFonts w:ascii="Times New Roman" w:hAnsi="Times New Roman" w:cs="Times New Roman"/>
          <w:sz w:val="28"/>
          <w:szCs w:val="28"/>
        </w:rPr>
      </w:pPr>
      <w:r w:rsidRPr="0018092D">
        <w:rPr>
          <w:rFonts w:ascii="Times New Roman" w:hAnsi="Times New Roman" w:cs="Times New Roman"/>
          <w:b/>
          <w:bCs/>
          <w:sz w:val="28"/>
          <w:szCs w:val="28"/>
        </w:rPr>
        <w:t>9. Визначення заходів, за допомогою яких здійснюватиметься відстеження результативності дії регуляторного акту.</w:t>
      </w:r>
    </w:p>
    <w:p w14:paraId="1E247891" w14:textId="0D4CFE34" w:rsidR="0018092D" w:rsidRDefault="0018092D" w:rsidP="006B16FD">
      <w:pPr>
        <w:spacing w:after="0" w:line="240" w:lineRule="auto"/>
        <w:ind w:firstLine="567"/>
        <w:jc w:val="both"/>
        <w:rPr>
          <w:rFonts w:ascii="Times New Roman" w:hAnsi="Times New Roman" w:cs="Times New Roman"/>
          <w:sz w:val="28"/>
          <w:szCs w:val="28"/>
        </w:rPr>
      </w:pPr>
      <w:r w:rsidRPr="0018092D">
        <w:rPr>
          <w:rFonts w:ascii="Times New Roman" w:hAnsi="Times New Roman" w:cs="Times New Roman"/>
          <w:sz w:val="28"/>
          <w:szCs w:val="28"/>
        </w:rPr>
        <w:t>У разі прийняття регуляторного акту послідовно здійснюватиметься відстеження його результативності згідно зі статтею 10 Закону України «Про засади державної регуляторної політики у сфері господарської діяльності» та Методикою відстеження результативності регуляторного акту, затвердженою постановою Кабінету Міністрів України від 11.03.2004 № 308</w:t>
      </w:r>
      <w:r w:rsidR="008D6D1C">
        <w:rPr>
          <w:rFonts w:ascii="Times New Roman" w:hAnsi="Times New Roman" w:cs="Times New Roman"/>
          <w:sz w:val="28"/>
          <w:szCs w:val="28"/>
        </w:rPr>
        <w:t xml:space="preserve">. </w:t>
      </w:r>
      <w:r w:rsidRPr="0018092D">
        <w:rPr>
          <w:rFonts w:ascii="Times New Roman" w:hAnsi="Times New Roman" w:cs="Times New Roman"/>
          <w:sz w:val="28"/>
          <w:szCs w:val="28"/>
        </w:rPr>
        <w:t>Метод проведення відстеження результативності – статистичний. Відстеження результативності здійснюватиметься на підставі статистичних даних.</w:t>
      </w:r>
    </w:p>
    <w:p w14:paraId="0CE1C921" w14:textId="77777777" w:rsidR="005D4258" w:rsidRDefault="005D4258" w:rsidP="005D4258">
      <w:pPr>
        <w:spacing w:after="0" w:line="240" w:lineRule="auto"/>
        <w:jc w:val="both"/>
        <w:rPr>
          <w:rFonts w:ascii="Times New Roman" w:hAnsi="Times New Roman" w:cs="Times New Roman"/>
          <w:sz w:val="28"/>
          <w:szCs w:val="28"/>
        </w:rPr>
      </w:pPr>
    </w:p>
    <w:p w14:paraId="535E43AA" w14:textId="77777777" w:rsidR="005D4258" w:rsidRDefault="005D4258" w:rsidP="005D4258">
      <w:pPr>
        <w:spacing w:after="0" w:line="240" w:lineRule="auto"/>
        <w:jc w:val="both"/>
        <w:rPr>
          <w:rFonts w:ascii="Times New Roman" w:hAnsi="Times New Roman" w:cs="Times New Roman"/>
          <w:sz w:val="28"/>
          <w:szCs w:val="28"/>
        </w:rPr>
      </w:pPr>
    </w:p>
    <w:p w14:paraId="321D9E48" w14:textId="77777777" w:rsidR="005D4258" w:rsidRPr="0018092D" w:rsidRDefault="005D4258" w:rsidP="005D4258">
      <w:pPr>
        <w:spacing w:after="0" w:line="240" w:lineRule="auto"/>
        <w:jc w:val="both"/>
        <w:rPr>
          <w:rFonts w:ascii="Times New Roman" w:hAnsi="Times New Roman" w:cs="Times New Roman"/>
          <w:sz w:val="28"/>
          <w:szCs w:val="28"/>
        </w:rPr>
      </w:pPr>
    </w:p>
    <w:sectPr w:rsidR="005D4258" w:rsidRPr="0018092D" w:rsidSect="00C97606">
      <w:footerReference w:type="default" r:id="rId8"/>
      <w:pgSz w:w="11906" w:h="16838"/>
      <w:pgMar w:top="1134" w:right="707"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15BD1" w14:textId="77777777" w:rsidR="00757CD0" w:rsidRDefault="00757CD0" w:rsidP="006A4637">
      <w:pPr>
        <w:spacing w:after="0" w:line="240" w:lineRule="auto"/>
      </w:pPr>
      <w:r>
        <w:separator/>
      </w:r>
    </w:p>
  </w:endnote>
  <w:endnote w:type="continuationSeparator" w:id="0">
    <w:p w14:paraId="24347DF6" w14:textId="77777777" w:rsidR="00757CD0" w:rsidRDefault="00757CD0" w:rsidP="006A4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905717"/>
      <w:docPartObj>
        <w:docPartGallery w:val="Page Numbers (Bottom of Page)"/>
        <w:docPartUnique/>
      </w:docPartObj>
    </w:sdtPr>
    <w:sdtEndPr/>
    <w:sdtContent>
      <w:p w14:paraId="087F1D44" w14:textId="6ACF8099" w:rsidR="006A4637" w:rsidRDefault="006A4637" w:rsidP="00572698">
        <w:pPr>
          <w:pStyle w:val="ac"/>
          <w:jc w:val="center"/>
        </w:pPr>
        <w:r>
          <w:fldChar w:fldCharType="begin"/>
        </w:r>
        <w:r>
          <w:instrText>PAGE   \* MERGEFORMAT</w:instrText>
        </w:r>
        <w:r>
          <w:fldChar w:fldCharType="separate"/>
        </w:r>
        <w:r>
          <w:rPr>
            <w:lang w:val="ru-RU"/>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0F29B" w14:textId="77777777" w:rsidR="00757CD0" w:rsidRDefault="00757CD0" w:rsidP="006A4637">
      <w:pPr>
        <w:spacing w:after="0" w:line="240" w:lineRule="auto"/>
      </w:pPr>
      <w:r>
        <w:separator/>
      </w:r>
    </w:p>
  </w:footnote>
  <w:footnote w:type="continuationSeparator" w:id="0">
    <w:p w14:paraId="0E6BA20D" w14:textId="77777777" w:rsidR="00757CD0" w:rsidRDefault="00757CD0" w:rsidP="006A46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754E7"/>
    <w:multiLevelType w:val="hybridMultilevel"/>
    <w:tmpl w:val="57D63142"/>
    <w:lvl w:ilvl="0" w:tplc="84A40698">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16cid:durableId="151601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838"/>
    <w:rsid w:val="000B42B5"/>
    <w:rsid w:val="001050F1"/>
    <w:rsid w:val="0010724A"/>
    <w:rsid w:val="00167DB6"/>
    <w:rsid w:val="00170358"/>
    <w:rsid w:val="0018092D"/>
    <w:rsid w:val="00211A9B"/>
    <w:rsid w:val="003056B9"/>
    <w:rsid w:val="005170AA"/>
    <w:rsid w:val="00572698"/>
    <w:rsid w:val="005D4258"/>
    <w:rsid w:val="005F0F79"/>
    <w:rsid w:val="006264ED"/>
    <w:rsid w:val="006271B0"/>
    <w:rsid w:val="006516F0"/>
    <w:rsid w:val="00660A85"/>
    <w:rsid w:val="006A4637"/>
    <w:rsid w:val="006B16FD"/>
    <w:rsid w:val="00707F9F"/>
    <w:rsid w:val="00730EE0"/>
    <w:rsid w:val="00757CD0"/>
    <w:rsid w:val="007B5998"/>
    <w:rsid w:val="0080737E"/>
    <w:rsid w:val="008D6D1C"/>
    <w:rsid w:val="008F4A5E"/>
    <w:rsid w:val="00962603"/>
    <w:rsid w:val="00966330"/>
    <w:rsid w:val="00986317"/>
    <w:rsid w:val="00A3151F"/>
    <w:rsid w:val="00AB1C20"/>
    <w:rsid w:val="00B21902"/>
    <w:rsid w:val="00C77E47"/>
    <w:rsid w:val="00C97606"/>
    <w:rsid w:val="00D004CD"/>
    <w:rsid w:val="00D12FD4"/>
    <w:rsid w:val="00D36920"/>
    <w:rsid w:val="00DF2195"/>
    <w:rsid w:val="00DF4344"/>
    <w:rsid w:val="00EC5428"/>
    <w:rsid w:val="00EF7838"/>
    <w:rsid w:val="00F44830"/>
    <w:rsid w:val="00F52593"/>
    <w:rsid w:val="00FF44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B8F11"/>
  <w15:chartTrackingRefBased/>
  <w15:docId w15:val="{AE2F1698-D06C-423B-9B64-FFCFCDCB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F7838"/>
    <w:rPr>
      <w:color w:val="0563C1" w:themeColor="hyperlink"/>
      <w:u w:val="single"/>
    </w:rPr>
  </w:style>
  <w:style w:type="paragraph" w:styleId="a4">
    <w:name w:val="No Spacing"/>
    <w:uiPriority w:val="1"/>
    <w:qFormat/>
    <w:rsid w:val="00EF7838"/>
    <w:pPr>
      <w:spacing w:after="0" w:line="240" w:lineRule="auto"/>
    </w:pPr>
    <w:rPr>
      <w:rFonts w:ascii="Times New Roman" w:eastAsia="Calibri" w:hAnsi="Times New Roman" w:cs="Times New Roman"/>
      <w:sz w:val="24"/>
      <w:lang w:eastAsia="uk-UA"/>
    </w:rPr>
  </w:style>
  <w:style w:type="character" w:customStyle="1" w:styleId="spanrvts23">
    <w:name w:val="span_rvts23"/>
    <w:basedOn w:val="a0"/>
    <w:rsid w:val="00AB1C20"/>
    <w:rPr>
      <w:rFonts w:ascii="Times New Roman" w:eastAsia="Times New Roman" w:hAnsi="Times New Roman" w:cs="Times New Roman"/>
      <w:b/>
      <w:bCs/>
      <w:i w:val="0"/>
      <w:iCs w:val="0"/>
      <w:sz w:val="32"/>
      <w:szCs w:val="32"/>
    </w:rPr>
  </w:style>
  <w:style w:type="table" w:styleId="a5">
    <w:name w:val="Table Grid"/>
    <w:basedOn w:val="a1"/>
    <w:uiPriority w:val="39"/>
    <w:rsid w:val="00707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986317"/>
    <w:pPr>
      <w:spacing w:after="0" w:line="240" w:lineRule="auto"/>
    </w:pPr>
    <w:rPr>
      <w:rFonts w:ascii="Times New Roman" w:eastAsia="Times New Roman" w:hAnsi="Times New Roman" w:cs="Times New Roman"/>
      <w:sz w:val="24"/>
      <w:szCs w:val="24"/>
      <w:lang w:val="ru-RU" w:eastAsia="ru-RU"/>
    </w:rPr>
  </w:style>
  <w:style w:type="character" w:customStyle="1" w:styleId="2">
    <w:name w:val="Стиль2"/>
    <w:basedOn w:val="a7"/>
    <w:rsid w:val="00986317"/>
  </w:style>
  <w:style w:type="character" w:styleId="a7">
    <w:name w:val="line number"/>
    <w:basedOn w:val="a0"/>
    <w:uiPriority w:val="99"/>
    <w:semiHidden/>
    <w:unhideWhenUsed/>
    <w:rsid w:val="00986317"/>
  </w:style>
  <w:style w:type="paragraph" w:styleId="a8">
    <w:name w:val="Body Text"/>
    <w:basedOn w:val="a"/>
    <w:link w:val="a9"/>
    <w:uiPriority w:val="99"/>
    <w:semiHidden/>
    <w:unhideWhenUsed/>
    <w:rsid w:val="00F44830"/>
    <w:pPr>
      <w:spacing w:after="0" w:line="240" w:lineRule="auto"/>
      <w:jc w:val="both"/>
    </w:pPr>
    <w:rPr>
      <w:rFonts w:ascii="Times New Roman" w:eastAsia="Times New Roman" w:hAnsi="Times New Roman" w:cs="Times New Roman"/>
      <w:sz w:val="28"/>
      <w:szCs w:val="20"/>
      <w:lang w:val="ru-RU" w:eastAsia="ru-RU"/>
    </w:rPr>
  </w:style>
  <w:style w:type="character" w:customStyle="1" w:styleId="a9">
    <w:name w:val="Основний текст Знак"/>
    <w:basedOn w:val="a0"/>
    <w:link w:val="a8"/>
    <w:uiPriority w:val="99"/>
    <w:semiHidden/>
    <w:rsid w:val="00F44830"/>
    <w:rPr>
      <w:rFonts w:ascii="Times New Roman" w:eastAsia="Times New Roman" w:hAnsi="Times New Roman" w:cs="Times New Roman"/>
      <w:sz w:val="28"/>
      <w:szCs w:val="20"/>
      <w:lang w:val="ru-RU" w:eastAsia="ru-RU"/>
    </w:rPr>
  </w:style>
  <w:style w:type="paragraph" w:styleId="aa">
    <w:name w:val="header"/>
    <w:basedOn w:val="a"/>
    <w:link w:val="ab"/>
    <w:uiPriority w:val="99"/>
    <w:unhideWhenUsed/>
    <w:rsid w:val="006A4637"/>
    <w:pPr>
      <w:tabs>
        <w:tab w:val="center" w:pos="4677"/>
        <w:tab w:val="right" w:pos="9355"/>
      </w:tabs>
      <w:spacing w:after="0" w:line="240" w:lineRule="auto"/>
    </w:pPr>
  </w:style>
  <w:style w:type="character" w:customStyle="1" w:styleId="ab">
    <w:name w:val="Верхній колонтитул Знак"/>
    <w:basedOn w:val="a0"/>
    <w:link w:val="aa"/>
    <w:uiPriority w:val="99"/>
    <w:rsid w:val="006A4637"/>
  </w:style>
  <w:style w:type="paragraph" w:styleId="ac">
    <w:name w:val="footer"/>
    <w:basedOn w:val="a"/>
    <w:link w:val="ad"/>
    <w:uiPriority w:val="99"/>
    <w:unhideWhenUsed/>
    <w:rsid w:val="006A4637"/>
    <w:pPr>
      <w:tabs>
        <w:tab w:val="center" w:pos="4677"/>
        <w:tab w:val="right" w:pos="9355"/>
      </w:tabs>
      <w:spacing w:after="0" w:line="240" w:lineRule="auto"/>
    </w:pPr>
  </w:style>
  <w:style w:type="character" w:customStyle="1" w:styleId="ad">
    <w:name w:val="Нижній колонтитул Знак"/>
    <w:basedOn w:val="a0"/>
    <w:link w:val="ac"/>
    <w:uiPriority w:val="99"/>
    <w:rsid w:val="006A4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52587">
      <w:bodyDiv w:val="1"/>
      <w:marLeft w:val="0"/>
      <w:marRight w:val="0"/>
      <w:marTop w:val="0"/>
      <w:marBottom w:val="0"/>
      <w:divBdr>
        <w:top w:val="none" w:sz="0" w:space="0" w:color="auto"/>
        <w:left w:val="none" w:sz="0" w:space="0" w:color="auto"/>
        <w:bottom w:val="none" w:sz="0" w:space="0" w:color="auto"/>
        <w:right w:val="none" w:sz="0" w:space="0" w:color="auto"/>
      </w:divBdr>
    </w:div>
    <w:div w:id="145980617">
      <w:bodyDiv w:val="1"/>
      <w:marLeft w:val="0"/>
      <w:marRight w:val="0"/>
      <w:marTop w:val="0"/>
      <w:marBottom w:val="0"/>
      <w:divBdr>
        <w:top w:val="none" w:sz="0" w:space="0" w:color="auto"/>
        <w:left w:val="none" w:sz="0" w:space="0" w:color="auto"/>
        <w:bottom w:val="none" w:sz="0" w:space="0" w:color="auto"/>
        <w:right w:val="none" w:sz="0" w:space="0" w:color="auto"/>
      </w:divBdr>
    </w:div>
    <w:div w:id="364063168">
      <w:bodyDiv w:val="1"/>
      <w:marLeft w:val="0"/>
      <w:marRight w:val="0"/>
      <w:marTop w:val="0"/>
      <w:marBottom w:val="0"/>
      <w:divBdr>
        <w:top w:val="none" w:sz="0" w:space="0" w:color="auto"/>
        <w:left w:val="none" w:sz="0" w:space="0" w:color="auto"/>
        <w:bottom w:val="none" w:sz="0" w:space="0" w:color="auto"/>
        <w:right w:val="none" w:sz="0" w:space="0" w:color="auto"/>
      </w:divBdr>
    </w:div>
    <w:div w:id="661661832">
      <w:bodyDiv w:val="1"/>
      <w:marLeft w:val="0"/>
      <w:marRight w:val="0"/>
      <w:marTop w:val="0"/>
      <w:marBottom w:val="0"/>
      <w:divBdr>
        <w:top w:val="none" w:sz="0" w:space="0" w:color="auto"/>
        <w:left w:val="none" w:sz="0" w:space="0" w:color="auto"/>
        <w:bottom w:val="none" w:sz="0" w:space="0" w:color="auto"/>
        <w:right w:val="none" w:sz="0" w:space="0" w:color="auto"/>
      </w:divBdr>
    </w:div>
    <w:div w:id="901477492">
      <w:bodyDiv w:val="1"/>
      <w:marLeft w:val="0"/>
      <w:marRight w:val="0"/>
      <w:marTop w:val="0"/>
      <w:marBottom w:val="0"/>
      <w:divBdr>
        <w:top w:val="none" w:sz="0" w:space="0" w:color="auto"/>
        <w:left w:val="none" w:sz="0" w:space="0" w:color="auto"/>
        <w:bottom w:val="none" w:sz="0" w:space="0" w:color="auto"/>
        <w:right w:val="none" w:sz="0" w:space="0" w:color="auto"/>
      </w:divBdr>
    </w:div>
    <w:div w:id="1252160188">
      <w:bodyDiv w:val="1"/>
      <w:marLeft w:val="0"/>
      <w:marRight w:val="0"/>
      <w:marTop w:val="0"/>
      <w:marBottom w:val="0"/>
      <w:divBdr>
        <w:top w:val="none" w:sz="0" w:space="0" w:color="auto"/>
        <w:left w:val="none" w:sz="0" w:space="0" w:color="auto"/>
        <w:bottom w:val="none" w:sz="0" w:space="0" w:color="auto"/>
        <w:right w:val="none" w:sz="0" w:space="0" w:color="auto"/>
      </w:divBdr>
    </w:div>
    <w:div w:id="1300106946">
      <w:bodyDiv w:val="1"/>
      <w:marLeft w:val="0"/>
      <w:marRight w:val="0"/>
      <w:marTop w:val="0"/>
      <w:marBottom w:val="0"/>
      <w:divBdr>
        <w:top w:val="none" w:sz="0" w:space="0" w:color="auto"/>
        <w:left w:val="none" w:sz="0" w:space="0" w:color="auto"/>
        <w:bottom w:val="none" w:sz="0" w:space="0" w:color="auto"/>
        <w:right w:val="none" w:sz="0" w:space="0" w:color="auto"/>
      </w:divBdr>
    </w:div>
    <w:div w:id="1317537781">
      <w:bodyDiv w:val="1"/>
      <w:marLeft w:val="0"/>
      <w:marRight w:val="0"/>
      <w:marTop w:val="0"/>
      <w:marBottom w:val="0"/>
      <w:divBdr>
        <w:top w:val="none" w:sz="0" w:space="0" w:color="auto"/>
        <w:left w:val="none" w:sz="0" w:space="0" w:color="auto"/>
        <w:bottom w:val="none" w:sz="0" w:space="0" w:color="auto"/>
        <w:right w:val="none" w:sz="0" w:space="0" w:color="auto"/>
      </w:divBdr>
    </w:div>
    <w:div w:id="1397777276">
      <w:bodyDiv w:val="1"/>
      <w:marLeft w:val="0"/>
      <w:marRight w:val="0"/>
      <w:marTop w:val="0"/>
      <w:marBottom w:val="0"/>
      <w:divBdr>
        <w:top w:val="none" w:sz="0" w:space="0" w:color="auto"/>
        <w:left w:val="none" w:sz="0" w:space="0" w:color="auto"/>
        <w:bottom w:val="none" w:sz="0" w:space="0" w:color="auto"/>
        <w:right w:val="none" w:sz="0" w:space="0" w:color="auto"/>
      </w:divBdr>
    </w:div>
    <w:div w:id="1428891996">
      <w:bodyDiv w:val="1"/>
      <w:marLeft w:val="0"/>
      <w:marRight w:val="0"/>
      <w:marTop w:val="0"/>
      <w:marBottom w:val="0"/>
      <w:divBdr>
        <w:top w:val="none" w:sz="0" w:space="0" w:color="auto"/>
        <w:left w:val="none" w:sz="0" w:space="0" w:color="auto"/>
        <w:bottom w:val="none" w:sz="0" w:space="0" w:color="auto"/>
        <w:right w:val="none" w:sz="0" w:space="0" w:color="auto"/>
      </w:divBdr>
    </w:div>
    <w:div w:id="1517574785">
      <w:bodyDiv w:val="1"/>
      <w:marLeft w:val="0"/>
      <w:marRight w:val="0"/>
      <w:marTop w:val="0"/>
      <w:marBottom w:val="0"/>
      <w:divBdr>
        <w:top w:val="none" w:sz="0" w:space="0" w:color="auto"/>
        <w:left w:val="none" w:sz="0" w:space="0" w:color="auto"/>
        <w:bottom w:val="none" w:sz="0" w:space="0" w:color="auto"/>
        <w:right w:val="none" w:sz="0" w:space="0" w:color="auto"/>
      </w:divBdr>
    </w:div>
    <w:div w:id="1881165372">
      <w:bodyDiv w:val="1"/>
      <w:marLeft w:val="0"/>
      <w:marRight w:val="0"/>
      <w:marTop w:val="0"/>
      <w:marBottom w:val="0"/>
      <w:divBdr>
        <w:top w:val="none" w:sz="0" w:space="0" w:color="auto"/>
        <w:left w:val="none" w:sz="0" w:space="0" w:color="auto"/>
        <w:bottom w:val="none" w:sz="0" w:space="0" w:color="auto"/>
        <w:right w:val="none" w:sz="0" w:space="0" w:color="auto"/>
      </w:divBdr>
    </w:div>
    <w:div w:id="189152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zakon2.rada.gov.ua/laws/show/2755-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10</Pages>
  <Words>13821</Words>
  <Characters>7878</Characters>
  <Application>Microsoft Office Word</Application>
  <DocSecurity>0</DocSecurity>
  <Lines>65</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Dusha</dc:creator>
  <cp:keywords/>
  <dc:description/>
  <cp:lastModifiedBy>Iryna Konchakivska</cp:lastModifiedBy>
  <cp:revision>11</cp:revision>
  <dcterms:created xsi:type="dcterms:W3CDTF">2026-03-20T09:03:00Z</dcterms:created>
  <dcterms:modified xsi:type="dcterms:W3CDTF">2026-03-31T09:57:00Z</dcterms:modified>
</cp:coreProperties>
</file>