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F7B96" w:rsidRPr="007C695F" w:rsidRDefault="0046510A" w:rsidP="009447C1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7C695F" w:rsidRPr="007C695F">
        <w:rPr>
          <w:color w:val="000000" w:themeColor="text1"/>
          <w:sz w:val="22"/>
          <w:szCs w:val="22"/>
          <w:lang w:val="uk-UA"/>
        </w:rPr>
        <w:t>Послуги з організації готельного обслуговування та розміщення артистів Національної оперети України та іноземних виконавців за кодом національного класифікатора України ДК 021:2015 «Єдиний закупівельний словник» 55110000-4 Послуги з розміщення у готелях</w:t>
      </w:r>
      <w:r w:rsidR="007C695F">
        <w:rPr>
          <w:color w:val="000000" w:themeColor="text1"/>
          <w:sz w:val="22"/>
          <w:szCs w:val="22"/>
          <w:lang w:val="uk-UA"/>
        </w:rPr>
        <w:t>.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A15A77">
        <w:rPr>
          <w:lang w:val="uk-UA"/>
        </w:rPr>
        <w:t xml:space="preserve"> </w:t>
      </w:r>
      <w:r w:rsidR="007C695F" w:rsidRPr="007C695F">
        <w:rPr>
          <w:lang w:val="uk-UA"/>
        </w:rPr>
        <w:t>UA-2026-04-22-001370-a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7C695F" w:rsidRDefault="006864F9" w:rsidP="00D908AB">
      <w:pPr>
        <w:jc w:val="both"/>
        <w:rPr>
          <w:rFonts w:eastAsia="Calibri"/>
          <w:lang w:val="uk-UA" w:eastAsia="en-US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9447C1">
        <w:rPr>
          <w:sz w:val="22"/>
          <w:szCs w:val="22"/>
          <w:lang w:val="uk-UA"/>
        </w:rPr>
        <w:t xml:space="preserve"> Термін надання послуги:</w:t>
      </w:r>
      <w:r w:rsidR="007C695F">
        <w:rPr>
          <w:sz w:val="22"/>
          <w:szCs w:val="22"/>
          <w:lang w:val="uk-UA"/>
        </w:rPr>
        <w:t xml:space="preserve"> </w:t>
      </w:r>
      <w:r w:rsidR="007C695F" w:rsidRPr="007C695F">
        <w:rPr>
          <w:lang w:val="uk-UA"/>
        </w:rPr>
        <w:t>з 25.06.2026 р. по 28.06.2026 р. (3 доби)</w:t>
      </w:r>
      <w:r w:rsidR="007C695F">
        <w:rPr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B107A">
        <w:rPr>
          <w:sz w:val="22"/>
          <w:szCs w:val="22"/>
          <w:lang w:val="uk-UA"/>
        </w:rPr>
        <w:t>сце надання послуг:</w:t>
      </w:r>
      <w:r w:rsidR="007C695F">
        <w:rPr>
          <w:lang w:val="uk-UA"/>
        </w:rPr>
        <w:t xml:space="preserve"> </w:t>
      </w:r>
      <w:r w:rsidR="007C695F" w:rsidRPr="007C695F">
        <w:rPr>
          <w:lang w:val="uk-UA"/>
        </w:rPr>
        <w:t>готель, розташований у Київській області в межах радіусу не більше 25 км від Бучанського міського парку (вул. Інститутська, 54, м. Буча)</w:t>
      </w:r>
      <w:r w:rsidR="007C695F">
        <w:rPr>
          <w:lang w:val="uk-UA"/>
        </w:rPr>
        <w:t>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A15A77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A15A77" w:rsidRPr="003D71EC">
        <w:rPr>
          <w:color w:val="000000" w:themeColor="text1"/>
          <w:lang w:val="uk-UA"/>
        </w:rPr>
        <w:t xml:space="preserve">розмір бюджетного призначення </w:t>
      </w:r>
      <w:r w:rsidR="00A15A77">
        <w:rPr>
          <w:color w:val="000000" w:themeColor="text1"/>
          <w:lang w:val="uk-UA"/>
        </w:rPr>
        <w:t>визначений відповідно Рішення 86</w:t>
      </w:r>
      <w:r w:rsidR="00A15A77" w:rsidRPr="003D71EC">
        <w:rPr>
          <w:color w:val="000000" w:themeColor="text1"/>
          <w:lang w:val="uk-UA"/>
        </w:rPr>
        <w:t xml:space="preserve"> сесії Бучанської міської р</w:t>
      </w:r>
      <w:r w:rsidR="00A15A77">
        <w:rPr>
          <w:color w:val="000000" w:themeColor="text1"/>
          <w:lang w:val="uk-UA"/>
        </w:rPr>
        <w:t>ади VШ скликання  від 24.12.2025р. № 6191 – 86</w:t>
      </w:r>
      <w:r w:rsidR="00A15A77" w:rsidRPr="003D71EC">
        <w:rPr>
          <w:color w:val="000000" w:themeColor="text1"/>
          <w:lang w:val="uk-UA"/>
        </w:rPr>
        <w:t xml:space="preserve"> –VШ «Про  місцевий бюджет Бучанської міської  територіальної </w:t>
      </w:r>
      <w:r w:rsidR="00A15A77">
        <w:rPr>
          <w:color w:val="000000" w:themeColor="text1"/>
          <w:lang w:val="uk-UA"/>
        </w:rPr>
        <w:t>громади на 2026</w:t>
      </w:r>
      <w:r w:rsidR="00A15A77" w:rsidRPr="003D71EC">
        <w:rPr>
          <w:color w:val="000000" w:themeColor="text1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7C695F">
        <w:rPr>
          <w:rFonts w:eastAsia="Calibri"/>
          <w:lang w:val="uk-UA" w:eastAsia="en-US"/>
        </w:rPr>
        <w:t>174 229 грн. 70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7C695F">
        <w:rPr>
          <w:lang w:val="uk-UA"/>
        </w:rPr>
        <w:t>(сто сімдесят чотири тисячі двісті двадцять дев'ять</w:t>
      </w:r>
      <w:r w:rsidR="004C4BA2">
        <w:rPr>
          <w:lang w:val="uk-UA"/>
        </w:rPr>
        <w:t xml:space="preserve"> гривень</w:t>
      </w:r>
      <w:r w:rsidR="004A0DDA">
        <w:rPr>
          <w:lang w:val="uk-UA"/>
        </w:rPr>
        <w:t xml:space="preserve"> </w:t>
      </w:r>
      <w:r w:rsidR="007C695F">
        <w:rPr>
          <w:lang w:val="uk-UA"/>
        </w:rPr>
        <w:t>70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7C695F">
        <w:rPr>
          <w:rFonts w:eastAsia="Calibri"/>
          <w:lang w:val="uk-UA" w:eastAsia="en-US"/>
        </w:rPr>
        <w:t>, у т.ч. ПДВ (20%)</w:t>
      </w:r>
      <w:r w:rsidR="004256DB">
        <w:rPr>
          <w:rFonts w:eastAsia="Calibri"/>
          <w:lang w:val="uk-UA" w:eastAsia="en-US"/>
        </w:rPr>
        <w:t>:</w:t>
      </w:r>
      <w:r w:rsidR="007C695F">
        <w:rPr>
          <w:rFonts w:eastAsia="Calibri"/>
          <w:lang w:val="uk-UA" w:eastAsia="en-US"/>
        </w:rPr>
        <w:t xml:space="preserve"> 29 038 грн. 28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7C695F">
        <w:rPr>
          <w:rFonts w:eastAsia="Calibri"/>
          <w:lang w:val="uk-UA" w:eastAsia="en-US"/>
        </w:rPr>
        <w:t xml:space="preserve"> (двадцять дев'ять тисяч тридцять вісім гривень  28</w:t>
      </w:r>
      <w:r w:rsidR="00E23081">
        <w:rPr>
          <w:rFonts w:eastAsia="Calibri"/>
          <w:lang w:val="uk-UA" w:eastAsia="en-US"/>
        </w:rPr>
        <w:t xml:space="preserve"> коп.).</w:t>
      </w:r>
      <w:bookmarkStart w:id="0" w:name="_GoBack"/>
      <w:bookmarkEnd w:id="0"/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256DB"/>
    <w:rsid w:val="0044252F"/>
    <w:rsid w:val="00455E3A"/>
    <w:rsid w:val="0046510A"/>
    <w:rsid w:val="004848A6"/>
    <w:rsid w:val="004912F2"/>
    <w:rsid w:val="004A0DDA"/>
    <w:rsid w:val="004B208B"/>
    <w:rsid w:val="004B3081"/>
    <w:rsid w:val="004C4BA2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C695F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447C1"/>
    <w:rsid w:val="009A0483"/>
    <w:rsid w:val="009B042C"/>
    <w:rsid w:val="009C562D"/>
    <w:rsid w:val="009C7E34"/>
    <w:rsid w:val="00A15A77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A0EC3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447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118</cp:revision>
  <dcterms:created xsi:type="dcterms:W3CDTF">2023-03-13T14:09:00Z</dcterms:created>
  <dcterms:modified xsi:type="dcterms:W3CDTF">2026-04-22T06:57:00Z</dcterms:modified>
</cp:coreProperties>
</file>