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9448" w14:textId="11C946B3" w:rsidR="00B103F4" w:rsidRPr="004A0F7F" w:rsidRDefault="00B103F4" w:rsidP="00B103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252F58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14:paraId="030375A3" w14:textId="43212689" w:rsidR="00B103F4" w:rsidRPr="00522FF3" w:rsidRDefault="00BA6622" w:rsidP="00B103F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регуляторного </w:t>
      </w:r>
      <w:proofErr w:type="spellStart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акта</w:t>
      </w:r>
      <w:proofErr w:type="spellEnd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- рішення </w:t>
      </w:r>
      <w:proofErr w:type="spellStart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 w:rsidR="00566397" w:rsidRPr="0056639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від 09.07.2024 № 4592-60-VIII  </w:t>
      </w:r>
      <w:r w:rsidR="0056639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«</w:t>
      </w:r>
      <w:r w:rsidR="00566397" w:rsidRPr="0056639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Про встановлення ставок та пільг із сплати податку на нерухоме майно, відмінне від земельної ділянки на території Бучанської міської територіальної громади</w:t>
      </w:r>
      <w:r w:rsidR="0056639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»</w:t>
      </w:r>
    </w:p>
    <w:p w14:paraId="36C49BC6" w14:textId="77777777" w:rsidR="00B103F4" w:rsidRPr="00B4171C" w:rsidRDefault="00B103F4" w:rsidP="00B103F4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2F98BF31" w14:textId="2BAAA2B7" w:rsidR="00B103F4" w:rsidRPr="00AC25A1" w:rsidRDefault="00B103F4" w:rsidP="0077109E">
      <w:pPr>
        <w:spacing w:before="100" w:beforeAutospacing="1" w:after="100" w:afterAutospacing="1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Рішення </w:t>
      </w:r>
      <w:proofErr w:type="spellStart"/>
      <w:r w:rsidRPr="004A0F7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793D01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міської ради </w:t>
      </w:r>
      <w:r w:rsidR="00566397" w:rsidRPr="0056639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від 09.07.2024 № 4592-60-VIII  </w:t>
      </w:r>
      <w:r w:rsidR="0056639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«</w:t>
      </w:r>
      <w:r w:rsidR="00566397" w:rsidRPr="0056639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Про встановлення ставок та пільг із сплати податку на нерухоме майно, відмінне від земельної ділянки на території </w:t>
      </w:r>
      <w:proofErr w:type="spellStart"/>
      <w:r w:rsidR="00566397" w:rsidRPr="0056639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Бучанської</w:t>
      </w:r>
      <w:proofErr w:type="spellEnd"/>
      <w:r w:rsidR="00566397" w:rsidRPr="0056639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міської територіальної громади</w:t>
      </w:r>
      <w:r w:rsidRPr="00AC25A1">
        <w:rPr>
          <w:rFonts w:ascii="Times New Roman" w:hAnsi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1EB977D" w14:textId="77777777" w:rsidR="00B103F4" w:rsidRPr="00F13824" w:rsidRDefault="00B103F4" w:rsidP="00B103F4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161F6457" w14:textId="60C8C358" w:rsidR="00B103F4" w:rsidRPr="004A0F7F" w:rsidRDefault="00B103F4" w:rsidP="00B10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hAnsi="Times New Roman"/>
          <w:sz w:val="24"/>
          <w:szCs w:val="24"/>
          <w:lang w:val="uk-UA" w:eastAsia="ru-RU"/>
        </w:rPr>
        <w:t>економічного розвитку та інвестицій Бучанської міської ради.</w:t>
      </w:r>
    </w:p>
    <w:p w14:paraId="4D590D7C" w14:textId="77777777" w:rsidR="00B103F4" w:rsidRPr="00566397" w:rsidRDefault="00B103F4" w:rsidP="00B103F4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</w:t>
      </w:r>
      <w:r w:rsidRPr="0056639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Цілі прийняття акту</w:t>
      </w:r>
      <w:r w:rsidRPr="0056639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7A196DB7" w14:textId="77777777" w:rsidR="0077109E" w:rsidRDefault="00B103F4" w:rsidP="0077109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7109E">
        <w:rPr>
          <w:rFonts w:ascii="Times New Roman" w:hAnsi="Times New Roman"/>
          <w:sz w:val="24"/>
          <w:szCs w:val="24"/>
          <w:lang w:val="uk-UA"/>
        </w:rPr>
        <w:t xml:space="preserve">дотримання вимог Податкового кодексу в частині встановлення податку на нерухоме майно, відмінне від земельної ділянки, як </w:t>
      </w:r>
      <w:proofErr w:type="spellStart"/>
      <w:r w:rsidRPr="0077109E">
        <w:rPr>
          <w:rFonts w:ascii="Times New Roman" w:hAnsi="Times New Roman"/>
          <w:sz w:val="24"/>
          <w:szCs w:val="24"/>
          <w:lang w:val="uk-UA"/>
        </w:rPr>
        <w:t>обов</w:t>
      </w:r>
      <w:proofErr w:type="spellEnd"/>
      <w:r w:rsidRPr="0077109E">
        <w:rPr>
          <w:rFonts w:ascii="Times New Roman" w:hAnsi="Times New Roman"/>
          <w:sz w:val="24"/>
          <w:szCs w:val="24"/>
        </w:rPr>
        <w:t>’</w:t>
      </w:r>
      <w:proofErr w:type="spellStart"/>
      <w:r w:rsidRPr="0077109E">
        <w:rPr>
          <w:rFonts w:ascii="Times New Roman" w:hAnsi="Times New Roman"/>
          <w:sz w:val="24"/>
          <w:szCs w:val="24"/>
          <w:lang w:val="uk-UA"/>
        </w:rPr>
        <w:t>язкового</w:t>
      </w:r>
      <w:proofErr w:type="spellEnd"/>
      <w:r w:rsidRPr="0077109E">
        <w:rPr>
          <w:rFonts w:ascii="Times New Roman" w:hAnsi="Times New Roman"/>
          <w:sz w:val="24"/>
          <w:szCs w:val="24"/>
          <w:lang w:val="uk-UA"/>
        </w:rPr>
        <w:t xml:space="preserve"> податку; </w:t>
      </w:r>
    </w:p>
    <w:p w14:paraId="50FCBD20" w14:textId="77777777" w:rsidR="0077109E" w:rsidRDefault="00B103F4" w:rsidP="0077109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7109E">
        <w:rPr>
          <w:rFonts w:ascii="Times New Roman" w:hAnsi="Times New Roman"/>
          <w:sz w:val="24"/>
          <w:szCs w:val="24"/>
          <w:lang w:val="uk-UA"/>
        </w:rPr>
        <w:t>збільшення доходної частини, отримання до місцевого бюджету Бучанської міської територіальної громади відповідних надходжень;</w:t>
      </w:r>
    </w:p>
    <w:p w14:paraId="30D2B44C" w14:textId="77777777" w:rsidR="0077109E" w:rsidRDefault="00B103F4" w:rsidP="0077109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7109E">
        <w:rPr>
          <w:rFonts w:ascii="Times New Roman" w:hAnsi="Times New Roman"/>
          <w:sz w:val="24"/>
          <w:szCs w:val="24"/>
          <w:lang w:val="uk-UA"/>
        </w:rPr>
        <w:t>підтримка та розвиток малого та середнього бізнесу;</w:t>
      </w:r>
    </w:p>
    <w:p w14:paraId="6DDA5736" w14:textId="77777777" w:rsidR="0077109E" w:rsidRDefault="00B103F4" w:rsidP="0077109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7109E">
        <w:rPr>
          <w:rFonts w:ascii="Times New Roman" w:hAnsi="Times New Roman"/>
          <w:sz w:val="24"/>
          <w:szCs w:val="24"/>
          <w:lang w:val="uk-UA"/>
        </w:rPr>
        <w:t>регулювання ситуації на ринку житла;</w:t>
      </w:r>
    </w:p>
    <w:p w14:paraId="2DBC0FD4" w14:textId="389CAE5F" w:rsidR="00B103F4" w:rsidRPr="0077109E" w:rsidRDefault="00B103F4" w:rsidP="0077109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7109E">
        <w:rPr>
          <w:rFonts w:ascii="Times New Roman" w:hAnsi="Times New Roman"/>
          <w:sz w:val="24"/>
          <w:szCs w:val="24"/>
          <w:lang w:val="uk-UA"/>
        </w:rPr>
        <w:t>дотримання принципів державної регуляторної політики.</w:t>
      </w:r>
    </w:p>
    <w:p w14:paraId="22B80C17" w14:textId="77777777" w:rsidR="00B103F4" w:rsidRPr="004A0F7F" w:rsidRDefault="00B103F4" w:rsidP="00B103F4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14:paraId="24DED2AC" w14:textId="77777777" w:rsidR="0077109E" w:rsidRDefault="0077109E" w:rsidP="0077109E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Січень – лютий 2026 року</w:t>
      </w:r>
    </w:p>
    <w:p w14:paraId="1344DDE3" w14:textId="77777777" w:rsidR="0077109E" w:rsidRDefault="0077109E" w:rsidP="0077109E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Період відстеження:</w:t>
      </w:r>
    </w:p>
    <w:p w14:paraId="5401194B" w14:textId="77777777" w:rsidR="0077109E" w:rsidRDefault="0077109E" w:rsidP="0077109E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iCs/>
          <w:sz w:val="24"/>
          <w:szCs w:val="24"/>
          <w:lang w:val="uk-UA" w:eastAsia="ru-RU"/>
        </w:rPr>
        <w:t>2024 – 2025 роки</w:t>
      </w:r>
    </w:p>
    <w:p w14:paraId="6F32DF89" w14:textId="7083A58F" w:rsidR="00B103F4" w:rsidRPr="004A0F7F" w:rsidRDefault="0077109E" w:rsidP="00B103F4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="00B103F4"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6A558E0F" w14:textId="60698898" w:rsidR="00566397" w:rsidRDefault="00252F58" w:rsidP="00F02CB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Повторне</w:t>
      </w:r>
      <w:r w:rsidR="00566397" w:rsidRPr="00566397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відстеження.</w:t>
      </w:r>
    </w:p>
    <w:p w14:paraId="2ECD667B" w14:textId="35587574" w:rsidR="00B103F4" w:rsidRPr="004A0F7F" w:rsidRDefault="0077109E" w:rsidP="00F02CB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14:paraId="18E136FB" w14:textId="2DB48549" w:rsidR="00B103F4" w:rsidRPr="004A0F7F" w:rsidRDefault="00B103F4" w:rsidP="0077109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252F58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14:paraId="1306FACD" w14:textId="69834BDE" w:rsidR="00B103F4" w:rsidRPr="004A0F7F" w:rsidRDefault="0077109E" w:rsidP="00F02CB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8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14:paraId="0DD0461E" w14:textId="6561FE60" w:rsidR="00B103F4" w:rsidRDefault="00B103F4" w:rsidP="0077109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252F58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</w:t>
      </w:r>
      <w:proofErr w:type="spellStart"/>
      <w:r w:rsidRPr="004A0F7F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14:paraId="61CB1E62" w14:textId="77777777" w:rsidR="0077109E" w:rsidRDefault="00B103F4" w:rsidP="0077109E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7109E"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платників податку на нерухоме майно, відмінне від земельної ділянки на території </w:t>
      </w:r>
      <w:proofErr w:type="spellStart"/>
      <w:r w:rsidRPr="0077109E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77109E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громади;</w:t>
      </w:r>
    </w:p>
    <w:p w14:paraId="5759ADBF" w14:textId="04CA5929" w:rsidR="00B103F4" w:rsidRPr="0077109E" w:rsidRDefault="00B103F4" w:rsidP="0077109E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7109E">
        <w:rPr>
          <w:rFonts w:ascii="Times New Roman" w:hAnsi="Times New Roman"/>
          <w:sz w:val="24"/>
          <w:szCs w:val="24"/>
          <w:lang w:val="uk-UA" w:eastAsia="ru-RU"/>
        </w:rPr>
        <w:t>сума надходжень до бюджету від сплати податку на нерухоме майно, відмінне від земельної ділянки на території Бучанської міської територіальної громади.</w:t>
      </w:r>
    </w:p>
    <w:p w14:paraId="029F5A4F" w14:textId="01B6BBD8" w:rsidR="00B103F4" w:rsidRPr="006F4672" w:rsidRDefault="00B103F4" w:rsidP="0077109E">
      <w:pPr>
        <w:spacing w:after="160" w:line="259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  <w:r w:rsidR="0077109E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9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61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1158"/>
        <w:gridCol w:w="890"/>
        <w:gridCol w:w="645"/>
        <w:gridCol w:w="1701"/>
        <w:gridCol w:w="1559"/>
        <w:gridCol w:w="1559"/>
        <w:gridCol w:w="1119"/>
      </w:tblGrid>
      <w:tr w:rsidR="00162D69" w:rsidRPr="00566397" w14:paraId="3AD1A8AF" w14:textId="38D79B31" w:rsidTr="00162D69">
        <w:trPr>
          <w:trHeight w:val="1497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583FC6" w14:textId="15B0AA2E" w:rsidR="008823D8" w:rsidRPr="00162D69" w:rsidRDefault="008823D8" w:rsidP="00566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62D6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9355D0" w14:textId="77777777" w:rsidR="008823D8" w:rsidRPr="00162D69" w:rsidRDefault="008823D8" w:rsidP="001B0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62D6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Код бюджетної класифікації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4FF6F7" w14:textId="77777777" w:rsidR="008823D8" w:rsidRPr="00162D69" w:rsidRDefault="008823D8" w:rsidP="001B0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62D6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Показники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C21283" w14:textId="5A5B00CA" w:rsidR="008823D8" w:rsidRPr="00162D69" w:rsidRDefault="008823D8" w:rsidP="00CB0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62D6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2024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F4CE895" w14:textId="6D318FDC" w:rsidR="008823D8" w:rsidRPr="00162D69" w:rsidRDefault="008823D8" w:rsidP="00CB0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62D6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2025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center"/>
          </w:tcPr>
          <w:p w14:paraId="09322A72" w14:textId="6884595B" w:rsidR="008823D8" w:rsidRPr="00162D69" w:rsidRDefault="008823D8" w:rsidP="00CB0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162D69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Відхилення</w:t>
            </w:r>
          </w:p>
        </w:tc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</w:tcPr>
          <w:p w14:paraId="42696C8F" w14:textId="417E2D78" w:rsidR="008823D8" w:rsidRDefault="008823D8" w:rsidP="00CB0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62D69">
              <w:rPr>
                <w:rFonts w:ascii="Times New Roman" w:hAnsi="Times New Roman"/>
                <w:b/>
                <w:sz w:val="20"/>
                <w:szCs w:val="20"/>
              </w:rPr>
              <w:t>Відповідний</w:t>
            </w:r>
            <w:proofErr w:type="spellEnd"/>
            <w:r w:rsidRPr="00162D6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2D69">
              <w:rPr>
                <w:rFonts w:ascii="Times New Roman" w:hAnsi="Times New Roman"/>
                <w:b/>
                <w:sz w:val="20"/>
                <w:szCs w:val="20"/>
              </w:rPr>
              <w:t>період</w:t>
            </w:r>
            <w:proofErr w:type="spellEnd"/>
            <w:r w:rsidRPr="00162D69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Pr="00162D6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5 </w:t>
            </w:r>
            <w:r w:rsidRPr="00162D69">
              <w:rPr>
                <w:rFonts w:ascii="Times New Roman" w:hAnsi="Times New Roman"/>
                <w:b/>
                <w:sz w:val="20"/>
                <w:szCs w:val="20"/>
              </w:rPr>
              <w:t>року до</w:t>
            </w:r>
            <w:r w:rsidRPr="008714C0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Pr="008714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8714C0">
              <w:rPr>
                <w:rFonts w:ascii="Times New Roman" w:hAnsi="Times New Roman"/>
                <w:b/>
                <w:sz w:val="24"/>
                <w:szCs w:val="24"/>
              </w:rPr>
              <w:t>року, %</w:t>
            </w:r>
          </w:p>
        </w:tc>
      </w:tr>
      <w:tr w:rsidR="00162D69" w:rsidRPr="00566397" w14:paraId="3F40D22E" w14:textId="617687E8" w:rsidTr="00162D69">
        <w:trPr>
          <w:trHeight w:val="186"/>
        </w:trPr>
        <w:tc>
          <w:tcPr>
            <w:tcW w:w="5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411A71" w14:textId="77777777" w:rsidR="008823D8" w:rsidRPr="001B0727" w:rsidRDefault="008823D8" w:rsidP="00566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A024DD" w14:textId="77777777" w:rsidR="008823D8" w:rsidRPr="001B0727" w:rsidRDefault="008823D8" w:rsidP="001B07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B2F485" w14:textId="77777777" w:rsidR="008823D8" w:rsidRPr="001B0727" w:rsidRDefault="008823D8" w:rsidP="001B07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B820A" w14:textId="77777777" w:rsidR="008823D8" w:rsidRPr="00CB1736" w:rsidRDefault="008823D8" w:rsidP="001B07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986670" w14:textId="77777777" w:rsidR="008823D8" w:rsidRPr="00CB1736" w:rsidRDefault="008823D8" w:rsidP="001B07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D3AF3" w14:textId="77777777" w:rsidR="008823D8" w:rsidRPr="00CB1736" w:rsidRDefault="008823D8" w:rsidP="001B07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8C6F2" w14:textId="77777777" w:rsidR="008823D8" w:rsidRPr="00CB1736" w:rsidRDefault="008823D8" w:rsidP="001B07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162D69" w:rsidRPr="00566397" w14:paraId="1DA5F957" w14:textId="5204E876" w:rsidTr="00162D69">
        <w:trPr>
          <w:trHeight w:val="843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CC1178" w14:textId="77777777" w:rsidR="008823D8" w:rsidRPr="00162D69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162D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 w:rsidRPr="00162D6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  <w:t>.1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C6EB82" w14:textId="77777777" w:rsidR="008823D8" w:rsidRPr="001B0727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18010100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59592" w14:textId="77777777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 платників податку на нерухоме майно, відмінне від земельної ділянки, сплачений юридичними особами, які є власниками об`єктів житлової нерухомості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7D67B" w14:textId="0B5B439A" w:rsidR="008823D8" w:rsidRPr="00CB1736" w:rsidRDefault="008823D8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C21B8" w14:textId="5C8F8195" w:rsidR="008823D8" w:rsidRPr="00CB1736" w:rsidRDefault="00162D69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E5A586" w14:textId="20F1F837" w:rsidR="008823D8" w:rsidRPr="00CB1736" w:rsidRDefault="00162D69" w:rsidP="005E58C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+11</w:t>
            </w:r>
          </w:p>
        </w:tc>
        <w:tc>
          <w:tcPr>
            <w:tcW w:w="1119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6D9B3" w14:textId="0439DAF4" w:rsidR="008823D8" w:rsidRPr="00CB1736" w:rsidRDefault="00162D69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+45,83</w:t>
            </w:r>
          </w:p>
        </w:tc>
      </w:tr>
      <w:tr w:rsidR="00162D69" w:rsidRPr="00566397" w14:paraId="04C31690" w14:textId="1BEA71E9" w:rsidTr="00162D69">
        <w:trPr>
          <w:trHeight w:val="997"/>
        </w:trPr>
        <w:tc>
          <w:tcPr>
            <w:tcW w:w="5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5B450B" w14:textId="77777777" w:rsidR="008823D8" w:rsidRPr="00162D69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162D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746094" w14:textId="77777777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A06B4" w14:textId="6BCA15F3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Сума надходжень до бюджету від податку на нерухоме майно, відмінне від земельної ділянки, сплачений юридичними особами, які є власниками об`єктів житлової нерухомості,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грн.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CFE150" w14:textId="28555A62" w:rsidR="008823D8" w:rsidRPr="008823D8" w:rsidRDefault="008823D8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262 401,63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37D32" w14:textId="08598548" w:rsidR="008823D8" w:rsidRPr="008823D8" w:rsidRDefault="008823D8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757 744,52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D9648E" w14:textId="38D564B8" w:rsidR="008823D8" w:rsidRPr="005E58CA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+495 342,89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0AEDF" w14:textId="3F0F3E5B" w:rsidR="008823D8" w:rsidRPr="005E58CA" w:rsidRDefault="00162D69" w:rsidP="00162D6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</w:t>
            </w:r>
            <w:r w:rsidR="005E58CA">
              <w:rPr>
                <w:rFonts w:ascii="Times New Roman" w:hAnsi="Times New Roman"/>
                <w:sz w:val="24"/>
                <w:szCs w:val="24"/>
                <w:lang w:val="uk-UA"/>
              </w:rPr>
              <w:t>88,77</w:t>
            </w:r>
          </w:p>
        </w:tc>
      </w:tr>
      <w:tr w:rsidR="00162D69" w:rsidRPr="00566397" w14:paraId="37CBEB8C" w14:textId="5CE14F77" w:rsidTr="00162D69">
        <w:trPr>
          <w:trHeight w:val="926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453514" w14:textId="77777777" w:rsidR="008823D8" w:rsidRPr="00162D69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62D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2.1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1224E5" w14:textId="77777777" w:rsidR="008823D8" w:rsidRPr="001B0727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18010200</w:t>
            </w:r>
          </w:p>
        </w:tc>
        <w:tc>
          <w:tcPr>
            <w:tcW w:w="2693" w:type="dxa"/>
            <w:gridSpan w:val="3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E3CDC" w14:textId="77777777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 платників податку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18B55" w14:textId="77A9FE65" w:rsidR="008823D8" w:rsidRPr="00CB1736" w:rsidRDefault="008823D8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1AF354" w14:textId="1A12B4DA" w:rsidR="008823D8" w:rsidRPr="00CB1736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722C4" w14:textId="1E36AA18" w:rsidR="008823D8" w:rsidRPr="00CB1736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+1751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B279BF" w14:textId="61E0C206" w:rsidR="008823D8" w:rsidRPr="00CB1736" w:rsidRDefault="00162D69" w:rsidP="00162D6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</w:t>
            </w:r>
            <w:r w:rsidR="005E58CA">
              <w:rPr>
                <w:rFonts w:ascii="Times New Roman" w:hAnsi="Times New Roman"/>
                <w:sz w:val="24"/>
                <w:szCs w:val="24"/>
                <w:lang w:val="uk-UA"/>
              </w:rPr>
              <w:t>57,46</w:t>
            </w:r>
          </w:p>
        </w:tc>
      </w:tr>
      <w:tr w:rsidR="00162D69" w:rsidRPr="00566397" w14:paraId="340F2E14" w14:textId="3BF57558" w:rsidTr="00162D69">
        <w:trPr>
          <w:trHeight w:val="1066"/>
        </w:trPr>
        <w:tc>
          <w:tcPr>
            <w:tcW w:w="5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183A4B" w14:textId="77777777" w:rsidR="008823D8" w:rsidRPr="00162D69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62D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2.2</w:t>
            </w: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812052" w14:textId="77777777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1B1CB" w14:textId="4A1D041C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Сума надходжень до бюджету від податку на нерухоме майно, відмінне від земельної ділянки, сплачений фізичними особами, які є власниками об`єктів житлової нерухомості, грн.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CEA7F1" w14:textId="54D88C9B" w:rsidR="008823D8" w:rsidRPr="00CB1736" w:rsidRDefault="008823D8" w:rsidP="0025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23D8">
              <w:rPr>
                <w:rFonts w:ascii="Times New Roman" w:hAnsi="Times New Roman"/>
                <w:sz w:val="24"/>
                <w:szCs w:val="24"/>
                <w:lang w:val="uk-UA"/>
              </w:rPr>
              <w:t>461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23D8">
              <w:rPr>
                <w:rFonts w:ascii="Times New Roman" w:hAnsi="Times New Roman"/>
                <w:sz w:val="24"/>
                <w:szCs w:val="24"/>
                <w:lang w:val="uk-UA"/>
              </w:rPr>
              <w:t>313,13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D914F" w14:textId="42A3138F" w:rsidR="008823D8" w:rsidRPr="005E58CA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7 214 829,22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A5B6" w14:textId="166E7CEC" w:rsidR="008823D8" w:rsidRPr="005E58CA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+3 753 516,09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A38C75" w14:textId="2EF55193" w:rsidR="008823D8" w:rsidRPr="005E58CA" w:rsidRDefault="00162D69" w:rsidP="00162D6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</w:t>
            </w:r>
            <w:r w:rsidR="005E58CA">
              <w:rPr>
                <w:rFonts w:ascii="Times New Roman" w:hAnsi="Times New Roman"/>
                <w:sz w:val="24"/>
                <w:szCs w:val="24"/>
                <w:lang w:val="uk-UA"/>
              </w:rPr>
              <w:t>08,44</w:t>
            </w:r>
          </w:p>
        </w:tc>
      </w:tr>
      <w:tr w:rsidR="00162D69" w:rsidRPr="00566397" w14:paraId="18D9F537" w14:textId="67503606" w:rsidTr="00162D69">
        <w:trPr>
          <w:trHeight w:val="930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678ECE" w14:textId="77777777" w:rsidR="008823D8" w:rsidRPr="00162D69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62D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3.1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DE5100" w14:textId="77777777" w:rsidR="008823D8" w:rsidRPr="001B0727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18010300</w:t>
            </w:r>
          </w:p>
        </w:tc>
        <w:tc>
          <w:tcPr>
            <w:tcW w:w="2693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63082" w14:textId="77777777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 платників податку на нерухоме майно, відмінне від земельної ділянки, сплачений фізичними особами, які є власниками об`єктів нежитлової нерухомості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0FDE51" w14:textId="166C29A0" w:rsidR="008823D8" w:rsidRPr="00CB1736" w:rsidRDefault="00162D69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D0A344" w14:textId="5BB98E6F" w:rsidR="008823D8" w:rsidRPr="00CB1736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9B29F3" w14:textId="545C120D" w:rsidR="008823D8" w:rsidRPr="00CB1736" w:rsidRDefault="00162D69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357600" w14:textId="11D54865" w:rsidR="008823D8" w:rsidRPr="00CB1736" w:rsidRDefault="00162D69" w:rsidP="00162D6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5E58CA">
              <w:rPr>
                <w:rFonts w:ascii="Times New Roman" w:hAnsi="Times New Roman"/>
                <w:sz w:val="24"/>
                <w:szCs w:val="24"/>
                <w:lang w:val="uk-UA"/>
              </w:rPr>
              <w:t>50,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</w:tr>
      <w:tr w:rsidR="00162D69" w:rsidRPr="00566397" w14:paraId="2B441FEC" w14:textId="1CFC8E1B" w:rsidTr="00162D69">
        <w:trPr>
          <w:trHeight w:val="663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A10AF4" w14:textId="77777777" w:rsidR="008823D8" w:rsidRPr="00162D69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62D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3.2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2E39E3" w14:textId="77777777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F8E10" w14:textId="2CA3E9B6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Сума надходжень до бюджету від податку на нерухоме майно, відмінне від земельної ділянки, сплачений фізичними особами, які є власниками об`єктів нежитлової нерухомості,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A9B210" w14:textId="0F587B3C" w:rsidR="008823D8" w:rsidRPr="00CB1736" w:rsidRDefault="008823D8" w:rsidP="0025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23D8">
              <w:rPr>
                <w:rFonts w:ascii="Times New Roman" w:hAnsi="Times New Roman"/>
                <w:sz w:val="24"/>
                <w:szCs w:val="24"/>
              </w:rPr>
              <w:t>602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23D8">
              <w:rPr>
                <w:rFonts w:ascii="Times New Roman" w:hAnsi="Times New Roman"/>
                <w:sz w:val="24"/>
                <w:szCs w:val="24"/>
              </w:rPr>
              <w:t>204,63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820D6C6" w14:textId="53AC7800" w:rsidR="008823D8" w:rsidRPr="005E58CA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3 320 706,25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AB9B21" w14:textId="043377A2" w:rsidR="008823D8" w:rsidRPr="005E58CA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+718 501,62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E46CD0" w14:textId="44C26718" w:rsidR="008823D8" w:rsidRPr="005E58CA" w:rsidRDefault="00162D69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5E58CA">
              <w:rPr>
                <w:rFonts w:ascii="Times New Roman" w:hAnsi="Times New Roman"/>
                <w:sz w:val="24"/>
                <w:szCs w:val="24"/>
                <w:lang w:val="uk-UA"/>
              </w:rPr>
              <w:t>27,61</w:t>
            </w:r>
          </w:p>
        </w:tc>
      </w:tr>
      <w:tr w:rsidR="00162D69" w:rsidRPr="00566397" w14:paraId="699E1C22" w14:textId="192F3A96" w:rsidTr="00162D69">
        <w:trPr>
          <w:trHeight w:val="663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6ED1B" w14:textId="5DFD11C6" w:rsidR="008823D8" w:rsidRPr="00162D69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62D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4.1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782DE0E" w14:textId="509FB6F7" w:rsidR="008823D8" w:rsidRPr="001B0727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18010400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8D903D" w14:textId="1A3AFA00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 платників податку на нерухоме майно, відмінне від земельної ділянки, сплачений  юридичними особами, які є власниками об`єктів нежитлової нерухомості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E333C7" w14:textId="7010C407" w:rsidR="008823D8" w:rsidRPr="00CB1736" w:rsidRDefault="008823D8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4614F1" w14:textId="1BAA00E6" w:rsidR="008823D8" w:rsidRPr="005E58CA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6F009D" w14:textId="2A7C9EE0" w:rsidR="008823D8" w:rsidRPr="005E58CA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+28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E749DC" w14:textId="3DA41DE3" w:rsidR="008823D8" w:rsidRPr="005E58CA" w:rsidRDefault="00162D69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5E58CA">
              <w:rPr>
                <w:rFonts w:ascii="Times New Roman" w:hAnsi="Times New Roman"/>
                <w:sz w:val="24"/>
                <w:szCs w:val="24"/>
                <w:lang w:val="uk-UA"/>
              </w:rPr>
              <w:t>20,59</w:t>
            </w:r>
          </w:p>
        </w:tc>
      </w:tr>
      <w:tr w:rsidR="00162D69" w:rsidRPr="00566397" w14:paraId="43B1A270" w14:textId="1B094DB2" w:rsidTr="00162D69">
        <w:trPr>
          <w:trHeight w:val="663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D41CE" w14:textId="59F1A131" w:rsidR="008823D8" w:rsidRPr="00162D69" w:rsidRDefault="008823D8" w:rsidP="00252F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62D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4.2</w:t>
            </w: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24890" w14:textId="77777777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369627" w14:textId="706BDE53" w:rsidR="008823D8" w:rsidRPr="001B0727" w:rsidRDefault="008823D8" w:rsidP="00252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Сума надходжень до бюджету від податку на нерухоме майно, відмінне від земельної ділянки, сплачений  юридичними особами, які є власниками об`єктів нежитлової нерухомості, 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2B27D6" w14:textId="5591312D" w:rsidR="008823D8" w:rsidRPr="00CB1736" w:rsidRDefault="008823D8" w:rsidP="00252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D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23D8">
              <w:rPr>
                <w:rFonts w:ascii="Times New Roman" w:hAnsi="Times New Roman"/>
                <w:sz w:val="24"/>
                <w:szCs w:val="24"/>
              </w:rPr>
              <w:t>887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23D8">
              <w:rPr>
                <w:rFonts w:ascii="Times New Roman" w:hAnsi="Times New Roman"/>
                <w:sz w:val="24"/>
                <w:szCs w:val="24"/>
              </w:rPr>
              <w:t>458,95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A43C7E" w14:textId="635CC808" w:rsidR="008823D8" w:rsidRPr="005E58CA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31 163 703,67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38BB95" w14:textId="50EE8DD9" w:rsidR="008823D8" w:rsidRPr="005E58CA" w:rsidRDefault="005E58CA" w:rsidP="00252F5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+21 276 244,72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F67829" w14:textId="5A42F6F6" w:rsidR="008823D8" w:rsidRPr="001F147D" w:rsidRDefault="00162D69" w:rsidP="00162D6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+2</w:t>
            </w:r>
            <w:r w:rsidR="001F147D">
              <w:rPr>
                <w:rFonts w:ascii="Times New Roman" w:hAnsi="Times New Roman"/>
                <w:sz w:val="24"/>
                <w:szCs w:val="24"/>
                <w:lang w:val="uk-UA"/>
              </w:rPr>
              <w:t>15,18</w:t>
            </w:r>
          </w:p>
        </w:tc>
      </w:tr>
      <w:tr w:rsidR="008823D8" w:rsidRPr="009913FB" w14:paraId="10EB6C0D" w14:textId="606C9635" w:rsidTr="00162D69">
        <w:trPr>
          <w:gridAfter w:val="5"/>
          <w:wAfter w:w="6583" w:type="dxa"/>
          <w:trHeight w:val="77"/>
        </w:trPr>
        <w:tc>
          <w:tcPr>
            <w:tcW w:w="5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897613" w14:textId="77777777" w:rsidR="008823D8" w:rsidRPr="001B0727" w:rsidRDefault="008823D8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</w:tcBorders>
            <w:vAlign w:val="center"/>
          </w:tcPr>
          <w:p w14:paraId="0783B2D6" w14:textId="77777777" w:rsidR="008823D8" w:rsidRPr="001B0727" w:rsidRDefault="008823D8" w:rsidP="009913FB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nil"/>
            </w:tcBorders>
          </w:tcPr>
          <w:p w14:paraId="123D6E6C" w14:textId="77777777" w:rsidR="008823D8" w:rsidRPr="001B0727" w:rsidRDefault="008823D8" w:rsidP="009913FB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nil"/>
            </w:tcBorders>
          </w:tcPr>
          <w:p w14:paraId="40CB5CE0" w14:textId="77777777" w:rsidR="008823D8" w:rsidRPr="001B0727" w:rsidRDefault="008823D8" w:rsidP="009913FB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126FEE7E" w14:textId="57DE8858" w:rsidR="00B103F4" w:rsidRPr="004A0F7F" w:rsidRDefault="0077109E" w:rsidP="00F02CB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10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="00B103F4"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14:paraId="6A845C5E" w14:textId="77777777" w:rsidR="00162D69" w:rsidRDefault="00CB1736" w:rsidP="00162D69">
      <w:pPr>
        <w:spacing w:before="100" w:beforeAutospacing="1"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62D69">
        <w:rPr>
          <w:rFonts w:ascii="Times New Roman" w:hAnsi="Times New Roman"/>
          <w:sz w:val="24"/>
          <w:szCs w:val="24"/>
          <w:lang w:val="uk-UA" w:eastAsia="ru-RU"/>
        </w:rPr>
        <w:t xml:space="preserve">Прийняте рішення </w:t>
      </w:r>
      <w:proofErr w:type="spellStart"/>
      <w:r w:rsidRPr="00162D69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162D69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 від 09.07.2024 № 4592-60-VIII  «Про встановлення ставок та пільг із сплати податку на нерухоме майно, відмінне від земельної ділянки на території </w:t>
      </w:r>
      <w:proofErr w:type="spellStart"/>
      <w:r w:rsidRPr="00162D69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162D69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громади» </w:t>
      </w:r>
      <w:r w:rsidR="00162D69" w:rsidRPr="00EE46C8">
        <w:rPr>
          <w:rFonts w:ascii="Times New Roman" w:hAnsi="Times New Roman"/>
          <w:sz w:val="24"/>
          <w:szCs w:val="24"/>
          <w:lang w:val="uk-UA" w:eastAsia="ru-RU"/>
        </w:rPr>
        <w:t xml:space="preserve">розроблено відповідно до норм чинного законодавства України. Встановлення ставок </w:t>
      </w:r>
      <w:r w:rsidR="00162D69">
        <w:rPr>
          <w:rFonts w:ascii="Times New Roman" w:hAnsi="Times New Roman"/>
          <w:sz w:val="24"/>
          <w:szCs w:val="24"/>
          <w:lang w:val="uk-UA" w:eastAsia="ru-RU"/>
        </w:rPr>
        <w:t>та пільг зі сплати земельного податку</w:t>
      </w:r>
      <w:r w:rsidR="00162D69" w:rsidRPr="00EE46C8">
        <w:rPr>
          <w:rFonts w:ascii="Times New Roman" w:hAnsi="Times New Roman"/>
          <w:sz w:val="24"/>
          <w:szCs w:val="24"/>
          <w:lang w:val="uk-UA" w:eastAsia="ru-RU"/>
        </w:rPr>
        <w:t xml:space="preserve"> здійснено з урахуванням вимог Податкового кодексу України та принципів державної регуляторної політики.</w:t>
      </w:r>
    </w:p>
    <w:p w14:paraId="72D87922" w14:textId="42229960" w:rsidR="00162D69" w:rsidRDefault="00162D69" w:rsidP="00162D69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Таким чином, прийняття зазначеного регуляторного </w:t>
      </w:r>
      <w:proofErr w:type="spellStart"/>
      <w:r w:rsidRPr="00EE46C8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забезпечило досягнення цілей, визначених під час його затвердження, що підтверджується позитивною динамікою показників у 202</w:t>
      </w:r>
      <w:r>
        <w:rPr>
          <w:rFonts w:ascii="Times New Roman" w:hAnsi="Times New Roman"/>
          <w:sz w:val="24"/>
          <w:szCs w:val="24"/>
          <w:lang w:val="uk-UA" w:eastAsia="ru-RU"/>
        </w:rPr>
        <w:t>5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році порівняно з фактичними показниками 202</w:t>
      </w:r>
      <w:r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року.</w:t>
      </w:r>
    </w:p>
    <w:p w14:paraId="75ABF845" w14:textId="6D8B7F81" w:rsidR="00162D69" w:rsidRPr="00EE46C8" w:rsidRDefault="00162D69" w:rsidP="00162D69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8714C0">
        <w:rPr>
          <w:rFonts w:ascii="Times New Roman" w:hAnsi="Times New Roman"/>
          <w:color w:val="000000"/>
          <w:sz w:val="24"/>
          <w:szCs w:val="24"/>
          <w:lang w:val="uk-UA"/>
        </w:rPr>
        <w:t>Кількість платників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8714C0">
        <w:rPr>
          <w:rFonts w:ascii="Times New Roman" w:hAnsi="Times New Roman"/>
          <w:color w:val="000000"/>
          <w:sz w:val="24"/>
          <w:szCs w:val="24"/>
          <w:lang w:val="uk-UA"/>
        </w:rPr>
        <w:t xml:space="preserve"> юридичними особами, які є власниками об`єктів житлової нерухомості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збільшено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>у 202</w:t>
      </w:r>
      <w:r>
        <w:rPr>
          <w:rFonts w:ascii="Times New Roman" w:hAnsi="Times New Roman"/>
          <w:sz w:val="24"/>
          <w:szCs w:val="24"/>
          <w:lang w:val="uk-UA" w:eastAsia="ru-RU"/>
        </w:rPr>
        <w:t>5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році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на  </w:t>
      </w:r>
      <w:r>
        <w:rPr>
          <w:rFonts w:ascii="Times New Roman" w:hAnsi="Times New Roman"/>
          <w:sz w:val="24"/>
          <w:szCs w:val="24"/>
          <w:lang w:val="uk-UA"/>
        </w:rPr>
        <w:t>45,83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% відповідно до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>202</w:t>
      </w:r>
      <w:r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року. </w:t>
      </w:r>
      <w:r>
        <w:rPr>
          <w:rFonts w:ascii="Times New Roman" w:hAnsi="Times New Roman"/>
          <w:sz w:val="24"/>
          <w:szCs w:val="24"/>
          <w:lang w:val="uk-UA" w:eastAsia="ru-RU"/>
        </w:rPr>
        <w:t>С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ума надходжень </w:t>
      </w:r>
      <w:r w:rsidRPr="00CA0839">
        <w:rPr>
          <w:rFonts w:ascii="Times New Roman" w:hAnsi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/>
          <w:sz w:val="24"/>
          <w:szCs w:val="24"/>
          <w:lang w:val="uk-UA"/>
        </w:rPr>
        <w:t xml:space="preserve">місцевого </w:t>
      </w:r>
      <w:r w:rsidRPr="00CA0839">
        <w:rPr>
          <w:rFonts w:ascii="Times New Roman" w:hAnsi="Times New Roman"/>
          <w:sz w:val="24"/>
          <w:szCs w:val="24"/>
          <w:lang w:val="uk-UA"/>
        </w:rPr>
        <w:t>бюджету від сплати</w:t>
      </w:r>
      <w:r w:rsidRPr="008714C0">
        <w:rPr>
          <w:rFonts w:ascii="Times New Roman" w:hAnsi="Times New Roman"/>
          <w:color w:val="000000"/>
          <w:sz w:val="24"/>
          <w:szCs w:val="24"/>
          <w:lang w:val="uk-UA"/>
        </w:rPr>
        <w:t xml:space="preserve">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8714C0">
        <w:rPr>
          <w:rFonts w:ascii="Times New Roman" w:hAnsi="Times New Roman"/>
          <w:color w:val="000000"/>
          <w:sz w:val="24"/>
          <w:szCs w:val="24"/>
          <w:lang w:val="uk-UA"/>
        </w:rPr>
        <w:t xml:space="preserve"> юридичними особами, які є власниками об`єктів житлової нерухомості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збільшилася на </w:t>
      </w:r>
      <w:r>
        <w:rPr>
          <w:rFonts w:ascii="Times New Roman" w:hAnsi="Times New Roman"/>
          <w:sz w:val="24"/>
          <w:szCs w:val="24"/>
          <w:lang w:val="uk-UA"/>
        </w:rPr>
        <w:t>188,77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%.</w:t>
      </w:r>
    </w:p>
    <w:p w14:paraId="6160770F" w14:textId="464604FF" w:rsidR="00162D69" w:rsidRDefault="00162D69" w:rsidP="00162D69">
      <w:pPr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714C0">
        <w:rPr>
          <w:rFonts w:ascii="Times New Roman" w:hAnsi="Times New Roman"/>
          <w:color w:val="000000"/>
          <w:sz w:val="24"/>
          <w:szCs w:val="24"/>
          <w:lang w:val="uk-UA"/>
        </w:rPr>
        <w:t>Кількість платників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8714C0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фізичними особами, які є власниками об`єктів 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збільшено у 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році на </w:t>
      </w:r>
      <w:r>
        <w:rPr>
          <w:rFonts w:ascii="Times New Roman" w:hAnsi="Times New Roman"/>
          <w:sz w:val="24"/>
          <w:szCs w:val="24"/>
          <w:lang w:val="uk-UA"/>
        </w:rPr>
        <w:t>157,46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%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відповідно до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>202</w:t>
      </w:r>
      <w:r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року.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Сума надходжень до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місцевого 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>бюджету від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фізичними особами, які є власниками об`єктів 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збільшилась на </w:t>
      </w:r>
      <w:r>
        <w:rPr>
          <w:rFonts w:ascii="Times New Roman" w:hAnsi="Times New Roman"/>
          <w:sz w:val="24"/>
          <w:szCs w:val="24"/>
          <w:lang w:val="uk-UA"/>
        </w:rPr>
        <w:t>108,44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%.</w:t>
      </w:r>
    </w:p>
    <w:p w14:paraId="4CC46E5D" w14:textId="2336FA50" w:rsidR="00162D69" w:rsidRDefault="00162D69" w:rsidP="00162D69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>Кількість платників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фізичними особами, які є власниками об`єктів нежитлової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суттєво збільшилась у 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році, на </w:t>
      </w:r>
      <w:r>
        <w:rPr>
          <w:rFonts w:ascii="Times New Roman" w:hAnsi="Times New Roman"/>
          <w:sz w:val="24"/>
          <w:szCs w:val="24"/>
          <w:lang w:val="uk-UA"/>
        </w:rPr>
        <w:t>50,74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%, відповідно до 202</w:t>
      </w:r>
      <w:r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року. 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>Сума надходжень до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місцевого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бюджету від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фізичними особами, які є власниками об`єктів нежитлової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зросла на </w:t>
      </w:r>
      <w:r w:rsidR="00F51A2B">
        <w:rPr>
          <w:rFonts w:ascii="Times New Roman" w:hAnsi="Times New Roman"/>
          <w:sz w:val="24"/>
          <w:szCs w:val="24"/>
          <w:lang w:val="uk-UA"/>
        </w:rPr>
        <w:t>27,61</w:t>
      </w:r>
      <w:r w:rsidR="00F51A2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%, порівнюючи з 202</w:t>
      </w:r>
      <w:r w:rsidR="00F51A2B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роком.</w:t>
      </w:r>
    </w:p>
    <w:p w14:paraId="26CABF8D" w14:textId="362D8929" w:rsidR="00162D69" w:rsidRPr="00EE46C8" w:rsidRDefault="00162D69" w:rsidP="00162D69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>Кількість платників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 юридичними особами, які є власниками об`єктів нежитлової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C0AD3">
        <w:rPr>
          <w:rFonts w:ascii="Times New Roman" w:hAnsi="Times New Roman"/>
          <w:color w:val="000000"/>
          <w:sz w:val="24"/>
          <w:szCs w:val="24"/>
          <w:lang w:val="uk-UA"/>
        </w:rPr>
        <w:t xml:space="preserve">у 2025 році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зросла на </w:t>
      </w:r>
      <w:r w:rsidR="00F51A2B">
        <w:rPr>
          <w:rFonts w:ascii="Times New Roman" w:hAnsi="Times New Roman"/>
          <w:sz w:val="24"/>
          <w:szCs w:val="24"/>
          <w:lang w:val="uk-UA"/>
        </w:rPr>
        <w:t>20,59</w:t>
      </w:r>
      <w:r w:rsidR="00F51A2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% відповідно до 202</w:t>
      </w:r>
      <w:r w:rsidR="00F51A2B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року. 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Сума надходжень до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місцевого 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>бюджету від податку на нерухоме майно, відмінне від земельної ділянки, сплачен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0521B9">
        <w:rPr>
          <w:rFonts w:ascii="Times New Roman" w:hAnsi="Times New Roman"/>
          <w:color w:val="000000"/>
          <w:sz w:val="24"/>
          <w:szCs w:val="24"/>
          <w:lang w:val="uk-UA"/>
        </w:rPr>
        <w:t xml:space="preserve">  юридичними особами, які є власниками об`єктів нежитлової нерухомості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C0AD3">
        <w:rPr>
          <w:rFonts w:ascii="Times New Roman" w:hAnsi="Times New Roman"/>
          <w:color w:val="000000"/>
          <w:sz w:val="24"/>
          <w:szCs w:val="24"/>
          <w:lang w:val="uk-UA"/>
        </w:rPr>
        <w:t>у 2025 році збільшилась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на </w:t>
      </w:r>
      <w:r w:rsidR="002C0AD3">
        <w:rPr>
          <w:rFonts w:ascii="Times New Roman" w:hAnsi="Times New Roman"/>
          <w:sz w:val="24"/>
          <w:szCs w:val="24"/>
          <w:lang w:val="uk-UA"/>
        </w:rPr>
        <w:t>215,18</w:t>
      </w:r>
      <w:r w:rsidR="002C0AD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%, порівнюючи з 202</w:t>
      </w:r>
      <w:r w:rsidR="002C0AD3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роком.</w:t>
      </w:r>
    </w:p>
    <w:p w14:paraId="4B234EED" w14:textId="77777777" w:rsidR="00162D69" w:rsidRDefault="00162D69" w:rsidP="00162D69">
      <w:pPr>
        <w:spacing w:before="100" w:beforeAutospacing="1"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0552D3B" w14:textId="1E4C2717" w:rsidR="00B103F4" w:rsidRPr="000D3926" w:rsidRDefault="00B103F4" w:rsidP="00162D69">
      <w:pPr>
        <w:pStyle w:val="a4"/>
        <w:shd w:val="clear" w:color="auto" w:fill="FFFFFF"/>
        <w:spacing w:after="0"/>
        <w:ind w:firstLine="709"/>
        <w:jc w:val="both"/>
        <w:textAlignment w:val="baseline"/>
        <w:rPr>
          <w:vanish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B103F4" w:rsidRPr="00162D69" w14:paraId="2094A568" w14:textId="77777777" w:rsidTr="00E953C4">
        <w:trPr>
          <w:tblCellSpacing w:w="15" w:type="dxa"/>
        </w:trPr>
        <w:tc>
          <w:tcPr>
            <w:tcW w:w="0" w:type="auto"/>
          </w:tcPr>
          <w:p w14:paraId="1EB4FE83" w14:textId="77777777" w:rsidR="00B103F4" w:rsidRPr="000D3926" w:rsidRDefault="00B103F4" w:rsidP="00E953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2A39" w:rsidRPr="00162D69" w14:paraId="70A49CAF" w14:textId="77777777" w:rsidTr="00E953C4">
        <w:trPr>
          <w:tblCellSpacing w:w="15" w:type="dxa"/>
        </w:trPr>
        <w:tc>
          <w:tcPr>
            <w:tcW w:w="0" w:type="auto"/>
          </w:tcPr>
          <w:p w14:paraId="23DB3C9E" w14:textId="77777777" w:rsidR="00632A39" w:rsidRDefault="00632A39" w:rsidP="00E953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4529C34" w14:textId="77777777" w:rsidR="00632A39" w:rsidRDefault="00632A39" w:rsidP="00E953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746C29B" w14:textId="2CB12E86" w:rsidR="00632A39" w:rsidRPr="000D3926" w:rsidRDefault="00632A39" w:rsidP="00E953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019A5B01" w14:textId="77777777" w:rsidR="00084BF2" w:rsidRDefault="00084BF2" w:rsidP="00084B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Начальник </w:t>
      </w:r>
    </w:p>
    <w:p w14:paraId="19A1EF23" w14:textId="72235BB3" w:rsidR="00B103F4" w:rsidRDefault="00084BF2" w:rsidP="00084B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відділу економічного розвитку</w:t>
      </w:r>
      <w:r w:rsidR="00B103F4">
        <w:rPr>
          <w:rFonts w:ascii="Times New Roman" w:hAnsi="Times New Roman"/>
          <w:b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b/>
          <w:sz w:val="24"/>
          <w:szCs w:val="24"/>
          <w:lang w:val="uk-UA"/>
        </w:rPr>
        <w:t>інвестицій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</w:t>
      </w:r>
      <w:r w:rsidR="00B103F4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 w:rsidR="00B103F4">
        <w:rPr>
          <w:rFonts w:ascii="Times New Roman" w:hAnsi="Times New Roman"/>
          <w:b/>
          <w:sz w:val="24"/>
          <w:szCs w:val="24"/>
          <w:lang w:val="uk-UA"/>
        </w:rPr>
        <w:t xml:space="preserve"> Тетяна ЛІПІНСЬКА</w:t>
      </w:r>
    </w:p>
    <w:p w14:paraId="5181CCA6" w14:textId="7B94E86C" w:rsidR="00586231" w:rsidRDefault="00586231" w:rsidP="00084B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8A38389" w14:textId="77777777" w:rsidR="00586231" w:rsidRDefault="00586231" w:rsidP="00084B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45FC6EA" w14:textId="77777777" w:rsidR="00084BF2" w:rsidRDefault="00084BF2" w:rsidP="00084B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5EE301" w14:textId="77777777" w:rsidR="00084BF2" w:rsidRPr="002C0AD3" w:rsidRDefault="00084BF2" w:rsidP="00084B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0AD3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14:paraId="68374D17" w14:textId="0BF3B6D9" w:rsidR="005E7158" w:rsidRPr="002C0AD3" w:rsidRDefault="00084BF2" w:rsidP="00084B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0AD3">
        <w:rPr>
          <w:rFonts w:ascii="Times New Roman" w:hAnsi="Times New Roman"/>
          <w:sz w:val="24"/>
          <w:szCs w:val="24"/>
          <w:lang w:val="uk-UA"/>
        </w:rPr>
        <w:t>відділу економічного розвитку та інвестицій</w:t>
      </w:r>
      <w:r w:rsidR="00B103F4" w:rsidRPr="002C0AD3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2C0AD3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B103F4" w:rsidRPr="002C0AD3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2C0AD3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1F147D" w:rsidRPr="002C0AD3">
        <w:rPr>
          <w:rFonts w:ascii="Times New Roman" w:hAnsi="Times New Roman"/>
          <w:sz w:val="24"/>
          <w:szCs w:val="24"/>
          <w:lang w:val="uk-UA"/>
        </w:rPr>
        <w:t>Тетяна СЕМЕНЕНКО</w:t>
      </w:r>
    </w:p>
    <w:sectPr w:rsidR="005E7158" w:rsidRPr="002C0A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5E3"/>
    <w:multiLevelType w:val="hybridMultilevel"/>
    <w:tmpl w:val="4F4432A2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EB2890"/>
    <w:multiLevelType w:val="hybridMultilevel"/>
    <w:tmpl w:val="C7BE64D8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0015"/>
    <w:multiLevelType w:val="hybridMultilevel"/>
    <w:tmpl w:val="A51EF5C0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C4F8B"/>
    <w:multiLevelType w:val="hybridMultilevel"/>
    <w:tmpl w:val="839806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F1926"/>
    <w:multiLevelType w:val="hybridMultilevel"/>
    <w:tmpl w:val="0CDA47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D0"/>
    <w:rsid w:val="00084BF2"/>
    <w:rsid w:val="000E6B0A"/>
    <w:rsid w:val="000E7193"/>
    <w:rsid w:val="00162D69"/>
    <w:rsid w:val="001B0727"/>
    <w:rsid w:val="001D5FFD"/>
    <w:rsid w:val="001E50BC"/>
    <w:rsid w:val="001F147D"/>
    <w:rsid w:val="002343F6"/>
    <w:rsid w:val="00252F58"/>
    <w:rsid w:val="002C0AD3"/>
    <w:rsid w:val="004D3355"/>
    <w:rsid w:val="00566397"/>
    <w:rsid w:val="00586231"/>
    <w:rsid w:val="005E58CA"/>
    <w:rsid w:val="005E7158"/>
    <w:rsid w:val="00632A39"/>
    <w:rsid w:val="00752E87"/>
    <w:rsid w:val="0077109E"/>
    <w:rsid w:val="007D4E10"/>
    <w:rsid w:val="008823D8"/>
    <w:rsid w:val="009200D9"/>
    <w:rsid w:val="00957999"/>
    <w:rsid w:val="009913FB"/>
    <w:rsid w:val="00AF1BD0"/>
    <w:rsid w:val="00B103F4"/>
    <w:rsid w:val="00BA4947"/>
    <w:rsid w:val="00BA6622"/>
    <w:rsid w:val="00CB0E97"/>
    <w:rsid w:val="00CB1736"/>
    <w:rsid w:val="00D02D01"/>
    <w:rsid w:val="00E013FF"/>
    <w:rsid w:val="00F02CB1"/>
    <w:rsid w:val="00F5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071A"/>
  <w15:chartTrackingRefBased/>
  <w15:docId w15:val="{5B0C096C-08CE-49D5-AC92-C31FE748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F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03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03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E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6B0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4302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19</cp:revision>
  <cp:lastPrinted>2026-05-12T13:05:00Z</cp:lastPrinted>
  <dcterms:created xsi:type="dcterms:W3CDTF">2023-11-14T07:17:00Z</dcterms:created>
  <dcterms:modified xsi:type="dcterms:W3CDTF">2026-05-12T13:06:00Z</dcterms:modified>
</cp:coreProperties>
</file>