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18A8" w14:textId="356584E8" w:rsidR="005D1FE9" w:rsidRPr="004A0F7F" w:rsidRDefault="005D1FE9" w:rsidP="005D1FE9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Звіт про </w:t>
      </w:r>
      <w:r w:rsidR="00346A67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>повторне</w:t>
      </w:r>
      <w:r w:rsidRPr="004A0F7F">
        <w:rPr>
          <w:rFonts w:ascii="Times New Roman" w:hAnsi="Times New Roman"/>
          <w:b/>
          <w:bCs/>
          <w:i/>
          <w:iCs/>
          <w:sz w:val="28"/>
          <w:szCs w:val="28"/>
          <w:lang w:val="uk-UA" w:eastAsia="ru-RU"/>
        </w:rPr>
        <w:t xml:space="preserve"> відстеження результативності </w:t>
      </w:r>
    </w:p>
    <w:p w14:paraId="2E98C1CB" w14:textId="22A48403" w:rsidR="005D1FE9" w:rsidRPr="00522FF3" w:rsidRDefault="005D1FE9" w:rsidP="005D1FE9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регуляторного </w:t>
      </w:r>
      <w:proofErr w:type="spellStart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акта</w:t>
      </w:r>
      <w:proofErr w:type="spellEnd"/>
      <w:r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- р</w:t>
      </w:r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ішення </w:t>
      </w:r>
      <w:proofErr w:type="spellStart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Бучанської</w:t>
      </w:r>
      <w:proofErr w:type="spellEnd"/>
      <w:r w:rsidRPr="004A0F7F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 міської </w:t>
      </w:r>
      <w:r w:rsidRPr="000F4107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 xml:space="preserve">ради </w:t>
      </w:r>
      <w:r w:rsidR="00184E2E">
        <w:rPr>
          <w:rFonts w:ascii="Times New Roman" w:hAnsi="Times New Roman"/>
          <w:b/>
          <w:bCs/>
          <w:iCs/>
          <w:sz w:val="24"/>
          <w:szCs w:val="24"/>
          <w:lang w:val="uk-UA" w:eastAsia="ru-RU"/>
        </w:rPr>
        <w:t>від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 xml:space="preserve">09.07.2024  № 4591-60-VIII </w:t>
      </w:r>
      <w:r w:rsidR="00E760FB">
        <w:rPr>
          <w:rFonts w:ascii="Times New Roman" w:hAnsi="Times New Roman"/>
          <w:b/>
          <w:bCs/>
          <w:sz w:val="24"/>
          <w:szCs w:val="24"/>
          <w:lang w:val="uk-UA"/>
        </w:rPr>
        <w:t>«</w:t>
      </w:r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встановлення ставок та пільг із сплати земельного податку на території </w:t>
      </w:r>
      <w:proofErr w:type="spellStart"/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>Бучанської</w:t>
      </w:r>
      <w:proofErr w:type="spellEnd"/>
      <w:r w:rsidR="00E760FB" w:rsidRPr="00E760FB">
        <w:rPr>
          <w:rFonts w:ascii="Times New Roman" w:hAnsi="Times New Roman"/>
          <w:b/>
          <w:bCs/>
          <w:sz w:val="24"/>
          <w:szCs w:val="24"/>
          <w:lang w:val="uk-UA"/>
        </w:rPr>
        <w:t xml:space="preserve"> міської територіальної громади</w:t>
      </w:r>
      <w:r w:rsidR="00E760FB">
        <w:rPr>
          <w:rFonts w:ascii="Times New Roman" w:hAnsi="Times New Roman"/>
          <w:b/>
          <w:bCs/>
          <w:sz w:val="24"/>
          <w:szCs w:val="24"/>
          <w:lang w:val="uk-UA"/>
        </w:rPr>
        <w:t>»</w:t>
      </w:r>
    </w:p>
    <w:p w14:paraId="354F5DA4" w14:textId="77777777" w:rsidR="005D1FE9" w:rsidRPr="00B4171C" w:rsidRDefault="005D1FE9" w:rsidP="005D1FE9">
      <w:pPr>
        <w:spacing w:before="100" w:beforeAutospacing="1" w:after="100" w:afterAutospacing="1" w:line="240" w:lineRule="auto"/>
        <w:ind w:left="426"/>
        <w:rPr>
          <w:rFonts w:ascii="Times New Roman" w:hAnsi="Times New Roman"/>
          <w:sz w:val="24"/>
          <w:szCs w:val="24"/>
          <w:lang w:eastAsia="ru-RU"/>
        </w:rPr>
      </w:pPr>
      <w:r w:rsidRPr="000F4107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1.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Вид та назва регуляторного акту</w:t>
      </w:r>
      <w:r w:rsidRPr="000F4107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40C82EB3" w14:textId="206A9647" w:rsidR="005D1FE9" w:rsidRPr="00020F1F" w:rsidRDefault="005D1FE9" w:rsidP="005D1FE9">
      <w:pPr>
        <w:spacing w:before="100" w:beforeAutospacing="1" w:after="100" w:afterAutospacing="1" w:line="240" w:lineRule="auto"/>
        <w:ind w:left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020F1F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Рішення </w:t>
      </w:r>
      <w:proofErr w:type="spellStart"/>
      <w:r w:rsidRPr="00020F1F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020F1F">
        <w:rPr>
          <w:rFonts w:ascii="Times New Roman" w:hAnsi="Times New Roman"/>
          <w:sz w:val="24"/>
          <w:szCs w:val="24"/>
          <w:lang w:val="uk-UA" w:eastAsia="ru-RU"/>
        </w:rPr>
        <w:t xml:space="preserve"> міської </w:t>
      </w:r>
      <w:r w:rsidRPr="0022326F">
        <w:rPr>
          <w:rFonts w:ascii="Times New Roman" w:hAnsi="Times New Roman"/>
          <w:sz w:val="24"/>
          <w:szCs w:val="24"/>
          <w:shd w:val="clear" w:color="auto" w:fill="FFFFFF"/>
          <w:lang w:val="uk-UA" w:eastAsia="ru-RU"/>
        </w:rPr>
        <w:t xml:space="preserve">ради </w:t>
      </w:r>
      <w:r w:rsidR="00E760FB" w:rsidRPr="00E760FB">
        <w:rPr>
          <w:rFonts w:ascii="Times New Roman" w:hAnsi="Times New Roman"/>
          <w:iCs/>
          <w:sz w:val="24"/>
          <w:szCs w:val="24"/>
          <w:lang w:val="uk-UA" w:eastAsia="ru-RU"/>
        </w:rPr>
        <w:t>від</w:t>
      </w:r>
      <w:r w:rsidR="00E760FB" w:rsidRPr="00E760FB">
        <w:rPr>
          <w:rFonts w:ascii="Times New Roman" w:hAnsi="Times New Roman"/>
          <w:sz w:val="24"/>
          <w:szCs w:val="24"/>
          <w:lang w:val="uk-UA"/>
        </w:rPr>
        <w:t xml:space="preserve"> 09.07.2024  № 4591-60-VIII «Про встановлення ставок та пільг із сплати земельного податку на території </w:t>
      </w:r>
      <w:proofErr w:type="spellStart"/>
      <w:r w:rsidR="00E760FB" w:rsidRPr="00E760FB"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 w:rsidR="00E760FB" w:rsidRPr="00E760FB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громади».</w:t>
      </w:r>
    </w:p>
    <w:p w14:paraId="5AB465DD" w14:textId="77777777" w:rsidR="005D1FE9" w:rsidRPr="00F13824" w:rsidRDefault="005D1FE9" w:rsidP="005D1FE9">
      <w:pPr>
        <w:jc w:val="both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      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2.  Назва виконавця заходів з відстеження результативності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55B4AB25" w14:textId="77777777" w:rsidR="005D1FE9" w:rsidRPr="004A0F7F" w:rsidRDefault="005D1FE9" w:rsidP="005D1FE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  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Відділ 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економічного розвитку та інвестицій </w:t>
      </w:r>
      <w:proofErr w:type="spellStart"/>
      <w:r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ради.</w:t>
      </w:r>
    </w:p>
    <w:p w14:paraId="0F169ECF" w14:textId="77777777" w:rsidR="005D1FE9" w:rsidRDefault="005D1FE9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i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3.  Цілі прийняття акту</w:t>
      </w:r>
      <w:r w:rsidRPr="00F13824">
        <w:rPr>
          <w:rFonts w:ascii="Times New Roman" w:hAnsi="Times New Roman"/>
          <w:b/>
          <w:i/>
          <w:sz w:val="24"/>
          <w:szCs w:val="24"/>
          <w:lang w:val="uk-UA" w:eastAsia="ru-RU"/>
        </w:rPr>
        <w:t>:</w:t>
      </w:r>
    </w:p>
    <w:p w14:paraId="71D7220B" w14:textId="77777777" w:rsidR="005D1FE9" w:rsidRPr="00F03AA1" w:rsidRDefault="005D1FE9" w:rsidP="00EE46C8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03AA1">
        <w:rPr>
          <w:rFonts w:ascii="Times New Roman" w:hAnsi="Times New Roman"/>
          <w:sz w:val="24"/>
          <w:szCs w:val="24"/>
          <w:lang w:val="uk-UA" w:eastAsia="ru-RU"/>
        </w:rPr>
        <w:t>Даний регуляторний акт спрямований на:</w:t>
      </w:r>
    </w:p>
    <w:p w14:paraId="6541FEB3" w14:textId="3C38ADF7" w:rsidR="005D1FE9" w:rsidRPr="00FB5CF0" w:rsidRDefault="005D1FE9" w:rsidP="00EE46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 xml:space="preserve">забезпечення дотримання вимог Податкового кодексу України;  </w:t>
      </w:r>
    </w:p>
    <w:p w14:paraId="2FD4F8DD" w14:textId="3328FC85" w:rsidR="005D1FE9" w:rsidRPr="00FB5CF0" w:rsidRDefault="005D1FE9" w:rsidP="00EE46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 xml:space="preserve">встановлення ставок земельного податку на території </w:t>
      </w:r>
      <w:proofErr w:type="spellStart"/>
      <w:r w:rsidRPr="00FB5CF0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FB5CF0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 відповідно до Класифікації видів цільового призначення земель;</w:t>
      </w:r>
    </w:p>
    <w:p w14:paraId="185BF5FA" w14:textId="7FBC26B0" w:rsidR="005D1FE9" w:rsidRPr="00FB5CF0" w:rsidRDefault="005D1FE9" w:rsidP="00EE46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>встановлення пільг зі сплати земельного податку для певних груп платників податків за видами їх діяльності та суспільного значення здійснюваних</w:t>
      </w:r>
      <w:r w:rsidR="00346A67" w:rsidRPr="00FB5CF0">
        <w:rPr>
          <w:rFonts w:ascii="Times New Roman" w:hAnsi="Times New Roman"/>
          <w:sz w:val="24"/>
          <w:szCs w:val="24"/>
          <w:lang w:val="uk-UA" w:eastAsia="ru-RU"/>
        </w:rPr>
        <w:t xml:space="preserve"> ними витрат у відповідності до </w:t>
      </w:r>
      <w:r w:rsidRPr="00FB5CF0">
        <w:rPr>
          <w:rFonts w:ascii="Times New Roman" w:hAnsi="Times New Roman"/>
          <w:sz w:val="24"/>
          <w:szCs w:val="24"/>
          <w:lang w:val="uk-UA" w:eastAsia="ru-RU"/>
        </w:rPr>
        <w:t xml:space="preserve">пункту 30.2 статті 30 Податкового кодексу України; </w:t>
      </w:r>
    </w:p>
    <w:p w14:paraId="1AF83A6F" w14:textId="413A6A75" w:rsidR="005D1FE9" w:rsidRPr="00FB5CF0" w:rsidRDefault="005D1FE9" w:rsidP="00EE46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>забезпечення соціально-економічного розвитку громади, подальшого регулювання земельних відносин, використання земельного ресурсу в інтересах територіальної громади міста;</w:t>
      </w:r>
    </w:p>
    <w:p w14:paraId="3FE67A28" w14:textId="5EE823FD" w:rsidR="005D1FE9" w:rsidRPr="00FB5CF0" w:rsidRDefault="005D1FE9" w:rsidP="00EE46C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>отримання додаткового фінансового ресурсу для вирішення соціально-економічних питань розвитку громади - фінансування бюджетної сфери в галузях освіти, охорони здоров’я, соціального захисту, житлово-комунального та дорожнього господарства, транспорту тощо.</w:t>
      </w:r>
    </w:p>
    <w:p w14:paraId="07E93577" w14:textId="77777777" w:rsidR="005D1FE9" w:rsidRPr="004A0F7F" w:rsidRDefault="005D1FE9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4</w:t>
      </w: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Строк виконання заходів з відстеження результативності</w:t>
      </w:r>
      <w:r>
        <w:rPr>
          <w:rFonts w:ascii="Times New Roman" w:hAnsi="Times New Roman"/>
          <w:i/>
          <w:iCs/>
          <w:sz w:val="24"/>
          <w:szCs w:val="24"/>
          <w:lang w:val="uk-UA" w:eastAsia="ru-RU"/>
        </w:rPr>
        <w:t>:</w:t>
      </w:r>
    </w:p>
    <w:p w14:paraId="18B4BD0C" w14:textId="6121379E" w:rsidR="005D1FE9" w:rsidRDefault="00FB5CF0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>Січень – лютий 2026 року</w:t>
      </w:r>
    </w:p>
    <w:p w14:paraId="525F85AF" w14:textId="62ADF5A3" w:rsidR="00FB5CF0" w:rsidRPr="00FB5CF0" w:rsidRDefault="00FB5CF0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5. Період відстеження:</w:t>
      </w:r>
    </w:p>
    <w:p w14:paraId="46B55D1C" w14:textId="6CBDFEB2" w:rsidR="00FB5CF0" w:rsidRPr="00FB5CF0" w:rsidRDefault="00FB5CF0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bCs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Cs/>
          <w:iCs/>
          <w:sz w:val="24"/>
          <w:szCs w:val="24"/>
          <w:lang w:val="uk-UA" w:eastAsia="ru-RU"/>
        </w:rPr>
        <w:t>2024 – 2025 роки</w:t>
      </w:r>
    </w:p>
    <w:p w14:paraId="68C52C48" w14:textId="4418B124" w:rsidR="005D1FE9" w:rsidRPr="004A0F7F" w:rsidRDefault="00FB5CF0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6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Тип відстеження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14:paraId="6F40A576" w14:textId="50F65910" w:rsidR="005D1FE9" w:rsidRPr="004A0F7F" w:rsidRDefault="005D1FE9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346A67">
        <w:rPr>
          <w:rFonts w:ascii="Times New Roman" w:hAnsi="Times New Roman"/>
          <w:sz w:val="24"/>
          <w:szCs w:val="24"/>
          <w:lang w:val="uk-UA" w:eastAsia="ru-RU"/>
        </w:rPr>
        <w:t>Повторне</w:t>
      </w:r>
      <w:r w:rsidR="009B0538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</w:t>
      </w:r>
      <w:r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1E18A1DF" w14:textId="699E2AD0" w:rsidR="005D1FE9" w:rsidRPr="004A0F7F" w:rsidRDefault="00FB5CF0" w:rsidP="005D1FE9">
      <w:pPr>
        <w:spacing w:before="100" w:beforeAutospacing="1" w:after="100" w:afterAutospacing="1" w:line="240" w:lineRule="auto"/>
        <w:ind w:firstLine="426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7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.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Метод одержання результатів відстеження результативност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і:</w:t>
      </w:r>
    </w:p>
    <w:p w14:paraId="3206A12F" w14:textId="6E925E98" w:rsidR="005D1FE9" w:rsidRPr="004A0F7F" w:rsidRDefault="005D1FE9" w:rsidP="005D1FE9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Для проведення </w:t>
      </w:r>
      <w:r w:rsidR="00346A67">
        <w:rPr>
          <w:rFonts w:ascii="Times New Roman" w:hAnsi="Times New Roman"/>
          <w:sz w:val="24"/>
          <w:szCs w:val="24"/>
          <w:lang w:val="uk-UA" w:eastAsia="ru-RU"/>
        </w:rPr>
        <w:t>повторного</w:t>
      </w:r>
      <w:r w:rsidRPr="004A0F7F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використовувався статистичний метод одержання результатів відстеження. </w:t>
      </w:r>
    </w:p>
    <w:p w14:paraId="43625241" w14:textId="0F1F7406" w:rsidR="005D1FE9" w:rsidRPr="004A0F7F" w:rsidRDefault="00FB5CF0" w:rsidP="00844B5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8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Дані та припущення, на основі яких відстежується результативність, а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також способи одержання дани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х:</w:t>
      </w:r>
    </w:p>
    <w:p w14:paraId="2DFA5AB6" w14:textId="6B44A065" w:rsidR="005D1FE9" w:rsidRDefault="00346A67" w:rsidP="00EE46C8">
      <w:pPr>
        <w:spacing w:before="100" w:beforeAutospacing="1" w:after="100" w:afterAutospacing="1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lastRenderedPageBreak/>
        <w:t>Повторне</w:t>
      </w:r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 xml:space="preserve"> відстеження результативності рішення </w:t>
      </w:r>
      <w:proofErr w:type="spellStart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«Про встановлення ставок та пільг із сплати земельного податку на території </w:t>
      </w:r>
      <w:proofErr w:type="spellStart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="005D1FE9" w:rsidRPr="00CD4483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громади» здійснювалося шляхом аналізу даних 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>статистичн</w:t>
      </w:r>
      <w:r w:rsidR="005D1FE9">
        <w:rPr>
          <w:rFonts w:ascii="Times New Roman" w:hAnsi="Times New Roman"/>
          <w:sz w:val="24"/>
          <w:szCs w:val="24"/>
          <w:lang w:val="uk-UA" w:eastAsia="ru-RU"/>
        </w:rPr>
        <w:t>их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 показник</w:t>
      </w:r>
      <w:r w:rsidR="005D1FE9">
        <w:rPr>
          <w:rFonts w:ascii="Times New Roman" w:hAnsi="Times New Roman"/>
          <w:sz w:val="24"/>
          <w:szCs w:val="24"/>
          <w:lang w:val="uk-UA" w:eastAsia="ru-RU"/>
        </w:rPr>
        <w:t>ів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 результативності:</w:t>
      </w:r>
    </w:p>
    <w:p w14:paraId="2FFA04A5" w14:textId="77777777" w:rsidR="00FB5CF0" w:rsidRDefault="005D1FE9" w:rsidP="00EE46C8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>кількість зареєстрованих платників земельного збору;</w:t>
      </w:r>
    </w:p>
    <w:p w14:paraId="4FAE65EB" w14:textId="610FA356" w:rsidR="00B90CEF" w:rsidRPr="00FB5CF0" w:rsidRDefault="005D1FE9" w:rsidP="00EE46C8">
      <w:pPr>
        <w:pStyle w:val="a3"/>
        <w:numPr>
          <w:ilvl w:val="0"/>
          <w:numId w:val="3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FB5CF0">
        <w:rPr>
          <w:rFonts w:ascii="Times New Roman" w:hAnsi="Times New Roman"/>
          <w:sz w:val="24"/>
          <w:szCs w:val="24"/>
          <w:lang w:val="uk-UA" w:eastAsia="ru-RU"/>
        </w:rPr>
        <w:t xml:space="preserve">сума надходжень до міського бюджету </w:t>
      </w:r>
      <w:proofErr w:type="spellStart"/>
      <w:r w:rsidRPr="00FB5CF0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FB5CF0">
        <w:rPr>
          <w:rFonts w:ascii="Times New Roman" w:hAnsi="Times New Roman"/>
          <w:sz w:val="24"/>
          <w:szCs w:val="24"/>
          <w:lang w:val="uk-UA" w:eastAsia="ru-RU"/>
        </w:rPr>
        <w:t xml:space="preserve"> міської територіальної громади від сплати земельного збору.</w:t>
      </w:r>
    </w:p>
    <w:p w14:paraId="2B25914D" w14:textId="77777777" w:rsidR="00C40201" w:rsidRPr="00C40201" w:rsidRDefault="00C40201" w:rsidP="00C40201">
      <w:pPr>
        <w:pStyle w:val="a3"/>
        <w:spacing w:before="100" w:beforeAutospacing="1" w:after="100" w:afterAutospacing="1" w:line="240" w:lineRule="auto"/>
        <w:ind w:left="2007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14:paraId="71FB90B0" w14:textId="1622FEBA" w:rsidR="005D1FE9" w:rsidRDefault="00FB5CF0" w:rsidP="005D1FE9">
      <w:pPr>
        <w:spacing w:after="160" w:line="259" w:lineRule="auto"/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9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Кількісні та якісні значення показників результативност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і </w:t>
      </w:r>
      <w:proofErr w:type="spellStart"/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акта</w:t>
      </w:r>
      <w:proofErr w:type="spellEnd"/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:</w:t>
      </w:r>
    </w:p>
    <w:p w14:paraId="5AEAB323" w14:textId="5B40D685" w:rsidR="005D1FE9" w:rsidRPr="00CD4483" w:rsidRDefault="005D1FE9" w:rsidP="00C93106">
      <w:pPr>
        <w:spacing w:before="240" w:after="160" w:line="259" w:lineRule="auto"/>
        <w:ind w:firstLine="708"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Відстеження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результативності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регуляторного акта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здійснюється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у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встановле</w:t>
      </w:r>
      <w:r w:rsidR="00EE46C8">
        <w:rPr>
          <w:rFonts w:ascii="Times New Roman" w:hAnsi="Times New Roman"/>
          <w:bCs/>
          <w:iCs/>
          <w:sz w:val="24"/>
          <w:szCs w:val="24"/>
          <w:lang w:eastAsia="ru-RU"/>
        </w:rPr>
        <w:t>ному</w:t>
      </w:r>
      <w:proofErr w:type="spellEnd"/>
      <w:r w:rsidR="00EE46C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EE46C8">
        <w:rPr>
          <w:rFonts w:ascii="Times New Roman" w:hAnsi="Times New Roman"/>
          <w:bCs/>
          <w:iCs/>
          <w:sz w:val="24"/>
          <w:szCs w:val="24"/>
          <w:lang w:eastAsia="ru-RU"/>
        </w:rPr>
        <w:t>законодавством</w:t>
      </w:r>
      <w:proofErr w:type="spellEnd"/>
      <w:r w:rsidR="00EE46C8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порядку за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кількісними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і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якісними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показниками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з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вико</w:t>
      </w:r>
      <w:r w:rsidR="001005F4">
        <w:rPr>
          <w:rFonts w:ascii="Times New Roman" w:hAnsi="Times New Roman"/>
          <w:bCs/>
          <w:iCs/>
          <w:sz w:val="24"/>
          <w:szCs w:val="24"/>
          <w:lang w:eastAsia="ru-RU"/>
        </w:rPr>
        <w:t>ристанням</w:t>
      </w:r>
      <w:proofErr w:type="spellEnd"/>
      <w:r w:rsidR="001005F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="001005F4">
        <w:rPr>
          <w:rFonts w:ascii="Times New Roman" w:hAnsi="Times New Roman"/>
          <w:bCs/>
          <w:iCs/>
          <w:sz w:val="24"/>
          <w:szCs w:val="24"/>
          <w:lang w:eastAsia="ru-RU"/>
        </w:rPr>
        <w:t>статистичного</w:t>
      </w:r>
      <w:proofErr w:type="spellEnd"/>
      <w:r w:rsidR="001005F4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метода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одержання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результатів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</w:t>
      </w:r>
      <w:proofErr w:type="spellStart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відстеження</w:t>
      </w:r>
      <w:proofErr w:type="spellEnd"/>
      <w:r w:rsidRPr="00CD4483">
        <w:rPr>
          <w:rFonts w:ascii="Times New Roman" w:hAnsi="Times New Roman"/>
          <w:bCs/>
          <w:iCs/>
          <w:sz w:val="24"/>
          <w:szCs w:val="24"/>
          <w:lang w:eastAsia="ru-RU"/>
        </w:rPr>
        <w:t>.</w:t>
      </w:r>
    </w:p>
    <w:tbl>
      <w:tblPr>
        <w:tblW w:w="9781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2410"/>
        <w:gridCol w:w="1559"/>
        <w:gridCol w:w="1418"/>
        <w:gridCol w:w="1701"/>
        <w:gridCol w:w="1984"/>
      </w:tblGrid>
      <w:tr w:rsidR="001C1CE7" w:rsidRPr="00CA0839" w14:paraId="5C96A1EF" w14:textId="77777777" w:rsidTr="003D7709">
        <w:trPr>
          <w:tblCellSpacing w:w="0" w:type="dxa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06DA74A0" w14:textId="77777777" w:rsidR="001C1CE7" w:rsidRPr="00CA0839" w:rsidRDefault="001C1CE7" w:rsidP="003D7709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Код податку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bottom"/>
          </w:tcPr>
          <w:p w14:paraId="05B8BFB2" w14:textId="77777777" w:rsidR="001C1CE7" w:rsidRPr="00CA0839" w:rsidRDefault="001C1CE7" w:rsidP="003D77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Показник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9ED187" w14:textId="4FA56EF3" w:rsidR="001C1CE7" w:rsidRPr="001C1CE7" w:rsidRDefault="001C1CE7" w:rsidP="001C1C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D8F4EC" w14:textId="382D921A" w:rsidR="001C1CE7" w:rsidRPr="00CA0839" w:rsidRDefault="001C1CE7" w:rsidP="003D77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3C38C326" w14:textId="77777777" w:rsidR="001C1CE7" w:rsidRPr="00CA0839" w:rsidRDefault="001C1CE7" w:rsidP="003D770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Відхилення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68A3523B" w14:textId="2D6DC32B" w:rsidR="001C1CE7" w:rsidRPr="00CA0839" w:rsidRDefault="001C1CE7" w:rsidP="001C1CE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Відповідний</w:t>
            </w:r>
            <w:proofErr w:type="spellEnd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>період</w:t>
            </w:r>
            <w:proofErr w:type="spellEnd"/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року до 202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</w:t>
            </w:r>
            <w:r w:rsidRPr="00CA0839">
              <w:rPr>
                <w:rFonts w:ascii="Times New Roman" w:hAnsi="Times New Roman"/>
                <w:b/>
                <w:sz w:val="24"/>
                <w:szCs w:val="24"/>
              </w:rPr>
              <w:t xml:space="preserve"> року, %</w:t>
            </w:r>
          </w:p>
        </w:tc>
      </w:tr>
      <w:tr w:rsidR="001C1CE7" w:rsidRPr="00CA0839" w14:paraId="06EB7079" w14:textId="77777777" w:rsidTr="003D7709">
        <w:trPr>
          <w:trHeight w:val="862"/>
          <w:tblCellSpacing w:w="0" w:type="dxa"/>
        </w:trPr>
        <w:tc>
          <w:tcPr>
            <w:tcW w:w="709" w:type="dxa"/>
            <w:vMerge w:val="restart"/>
            <w:textDirection w:val="btLr"/>
            <w:vAlign w:val="bottom"/>
          </w:tcPr>
          <w:p w14:paraId="19CF3B5F" w14:textId="77777777" w:rsidR="001C1CE7" w:rsidRPr="00CA0839" w:rsidRDefault="001C1CE7" w:rsidP="001C1CE7">
            <w:pPr>
              <w:spacing w:after="0" w:line="48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18010500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3E25746B" w14:textId="77777777" w:rsidR="001C1CE7" w:rsidRPr="00CA0839" w:rsidRDefault="001C1CE7" w:rsidP="001C1CE7">
            <w:pP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платників земельного податку, юридичні особи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3DEFFC98" w14:textId="568EE42B" w:rsidR="001C1CE7" w:rsidRPr="00CA0839" w:rsidRDefault="001C1CE7" w:rsidP="001C1CE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</w:rPr>
              <w:t>18</w:t>
            </w: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ABA3740" w14:textId="6AF1E058" w:rsidR="001C1CE7" w:rsidRPr="00337CF7" w:rsidRDefault="001C1CE7" w:rsidP="00337C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="00337CF7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14:paraId="14E65889" w14:textId="2147DE6D" w:rsidR="001C1CE7" w:rsidRPr="00337CF7" w:rsidRDefault="00943A9C" w:rsidP="00337C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+4</w:t>
            </w:r>
            <w:r w:rsidR="00337C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  <w:vAlign w:val="center"/>
          </w:tcPr>
          <w:p w14:paraId="63DF41C8" w14:textId="32FBF76B" w:rsidR="001C1CE7" w:rsidRPr="00CA0839" w:rsidRDefault="00EE46C8" w:rsidP="00943A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+21,51</w:t>
            </w:r>
          </w:p>
        </w:tc>
      </w:tr>
      <w:tr w:rsidR="001C1CE7" w:rsidRPr="00CA0839" w14:paraId="78F72BB1" w14:textId="77777777" w:rsidTr="003D7709">
        <w:trPr>
          <w:trHeight w:val="1373"/>
          <w:tblCellSpacing w:w="0" w:type="dxa"/>
        </w:trPr>
        <w:tc>
          <w:tcPr>
            <w:tcW w:w="709" w:type="dxa"/>
            <w:vMerge/>
            <w:vAlign w:val="bottom"/>
          </w:tcPr>
          <w:p w14:paraId="11468B21" w14:textId="77777777" w:rsidR="001C1CE7" w:rsidRPr="00CA0839" w:rsidRDefault="001C1CE7" w:rsidP="001C1C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5A543B2A" w14:textId="77777777" w:rsidR="001C1CE7" w:rsidRPr="00CA0839" w:rsidRDefault="001C1CE7" w:rsidP="001C1CE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Сума надходжень до бюджету від сплати земельного податку юридичними особами, грн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C6EB3B7" w14:textId="61DE3FF9" w:rsidR="001C1CE7" w:rsidRPr="00CA0839" w:rsidRDefault="001C1CE7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45 885 365,91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DF15E2D" w14:textId="4E39B892" w:rsidR="001C1CE7" w:rsidRPr="00CA0839" w:rsidRDefault="001C1CE7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67</w:t>
            </w:r>
            <w:r w:rsidR="00943A9C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990</w:t>
            </w:r>
            <w:r w:rsidR="00943A9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406,87</w:t>
            </w:r>
          </w:p>
        </w:tc>
        <w:tc>
          <w:tcPr>
            <w:tcW w:w="1701" w:type="dxa"/>
            <w:vAlign w:val="center"/>
          </w:tcPr>
          <w:p w14:paraId="5FB6D75C" w14:textId="00DE1379" w:rsidR="001C1CE7" w:rsidRPr="00CA0839" w:rsidRDefault="001C1CE7" w:rsidP="00943A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943A9C">
              <w:rPr>
                <w:rFonts w:ascii="Times New Roman" w:hAnsi="Times New Roman"/>
                <w:sz w:val="24"/>
                <w:szCs w:val="24"/>
                <w:lang w:val="uk-UA"/>
              </w:rPr>
              <w:t>22 105 040,96</w:t>
            </w:r>
          </w:p>
        </w:tc>
        <w:tc>
          <w:tcPr>
            <w:tcW w:w="1984" w:type="dxa"/>
            <w:vAlign w:val="center"/>
          </w:tcPr>
          <w:p w14:paraId="0470DDBC" w14:textId="020D9EB5" w:rsidR="001C1CE7" w:rsidRPr="00CA0839" w:rsidRDefault="00EE46C8" w:rsidP="00943A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+48,17</w:t>
            </w:r>
          </w:p>
        </w:tc>
      </w:tr>
      <w:tr w:rsidR="001C1CE7" w:rsidRPr="00CA0839" w14:paraId="5C953A8E" w14:textId="77777777" w:rsidTr="003D7709">
        <w:trPr>
          <w:trHeight w:val="65"/>
          <w:tblCellSpacing w:w="0" w:type="dxa"/>
        </w:trPr>
        <w:tc>
          <w:tcPr>
            <w:tcW w:w="709" w:type="dxa"/>
            <w:vMerge w:val="restart"/>
            <w:textDirection w:val="btLr"/>
            <w:vAlign w:val="bottom"/>
          </w:tcPr>
          <w:p w14:paraId="3D54208F" w14:textId="77777777" w:rsidR="001C1CE7" w:rsidRPr="00CA0839" w:rsidRDefault="001C1CE7" w:rsidP="001C1CE7">
            <w:pPr>
              <w:spacing w:after="0" w:line="48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18010700</w:t>
            </w:r>
          </w:p>
        </w:tc>
        <w:tc>
          <w:tcPr>
            <w:tcW w:w="2410" w:type="dxa"/>
            <w:shd w:val="clear" w:color="auto" w:fill="FFFFFF"/>
            <w:vAlign w:val="bottom"/>
          </w:tcPr>
          <w:p w14:paraId="5F71E025" w14:textId="77777777" w:rsidR="001C1CE7" w:rsidRPr="00CA0839" w:rsidRDefault="001C1CE7" w:rsidP="001C1CE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Кількість платників земельного податку, фізичні особи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EB0CF3F" w14:textId="5E2230AA" w:rsidR="001C1CE7" w:rsidRPr="00CA0839" w:rsidRDefault="001C1CE7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2039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00B7BA1" w14:textId="7FAC88FD" w:rsidR="001C1CE7" w:rsidRPr="00337CF7" w:rsidRDefault="00943A9C" w:rsidP="00337C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255</w:t>
            </w:r>
            <w:r w:rsidR="00337C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14:paraId="63929DDD" w14:textId="3AC8B3E1" w:rsidR="001C1CE7" w:rsidRPr="00CA0839" w:rsidRDefault="00EE46C8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+513</w:t>
            </w:r>
          </w:p>
        </w:tc>
        <w:tc>
          <w:tcPr>
            <w:tcW w:w="1984" w:type="dxa"/>
            <w:vAlign w:val="center"/>
          </w:tcPr>
          <w:p w14:paraId="0ABF00FA" w14:textId="68A19376" w:rsidR="001C1CE7" w:rsidRPr="00CA0839" w:rsidRDefault="00EE46C8" w:rsidP="00943A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+25,16</w:t>
            </w:r>
          </w:p>
        </w:tc>
      </w:tr>
      <w:tr w:rsidR="001C1CE7" w:rsidRPr="00CA0839" w14:paraId="6C83ADF4" w14:textId="77777777" w:rsidTr="003D7709">
        <w:trPr>
          <w:trHeight w:val="971"/>
          <w:tblCellSpacing w:w="0" w:type="dxa"/>
        </w:trPr>
        <w:tc>
          <w:tcPr>
            <w:tcW w:w="709" w:type="dxa"/>
            <w:vMerge/>
            <w:vAlign w:val="bottom"/>
          </w:tcPr>
          <w:p w14:paraId="63F43B37" w14:textId="77777777" w:rsidR="001C1CE7" w:rsidRPr="00CA0839" w:rsidRDefault="001C1CE7" w:rsidP="001C1CE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  <w:vAlign w:val="bottom"/>
          </w:tcPr>
          <w:p w14:paraId="2B90A0D2" w14:textId="77777777" w:rsidR="001C1CE7" w:rsidRPr="00CA0839" w:rsidRDefault="001C1CE7" w:rsidP="001C1CE7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Сума надходжень до бюджету від сплати земельного податку фізичними особами, грн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6766B15" w14:textId="20E59C85" w:rsidR="001C1CE7" w:rsidRPr="00CA0839" w:rsidRDefault="001C1CE7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5 712 196,00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7F6F9D1" w14:textId="3104D99F" w:rsidR="001C1CE7" w:rsidRPr="00CA0839" w:rsidRDefault="00943A9C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15 815 660,53</w:t>
            </w:r>
          </w:p>
        </w:tc>
        <w:tc>
          <w:tcPr>
            <w:tcW w:w="1701" w:type="dxa"/>
            <w:vAlign w:val="center"/>
          </w:tcPr>
          <w:p w14:paraId="08DAA411" w14:textId="3760F6BE" w:rsidR="001C1CE7" w:rsidRPr="00CA0839" w:rsidRDefault="001C1CE7" w:rsidP="00943A9C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A0839">
              <w:rPr>
                <w:rFonts w:ascii="Times New Roman" w:hAnsi="Times New Roman"/>
                <w:sz w:val="24"/>
                <w:szCs w:val="24"/>
                <w:lang w:val="uk-UA"/>
              </w:rPr>
              <w:t>+</w:t>
            </w:r>
            <w:r w:rsidR="00943A9C">
              <w:rPr>
                <w:rFonts w:ascii="Times New Roman" w:hAnsi="Times New Roman"/>
                <w:sz w:val="24"/>
                <w:szCs w:val="24"/>
                <w:lang w:val="uk-UA"/>
              </w:rPr>
              <w:t>10 103 464,53</w:t>
            </w:r>
          </w:p>
        </w:tc>
        <w:tc>
          <w:tcPr>
            <w:tcW w:w="1984" w:type="dxa"/>
            <w:vAlign w:val="center"/>
          </w:tcPr>
          <w:p w14:paraId="46D4CB2F" w14:textId="0E068B85" w:rsidR="001C1CE7" w:rsidRPr="00CA0839" w:rsidRDefault="00EE46C8" w:rsidP="001C1CE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+176,88</w:t>
            </w:r>
          </w:p>
        </w:tc>
      </w:tr>
    </w:tbl>
    <w:p w14:paraId="2AED919C" w14:textId="4DB9FD2C" w:rsidR="005D1FE9" w:rsidRPr="004A0F7F" w:rsidRDefault="00FB5CF0" w:rsidP="00844B51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10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. 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Оцінка результат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ів реалізації регуляторного акту</w:t>
      </w:r>
      <w:r w:rsidR="005D1FE9" w:rsidRPr="004A0F7F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 xml:space="preserve"> та ступеня досягнення визначених ціле</w:t>
      </w:r>
      <w:r w:rsidR="005D1FE9">
        <w:rPr>
          <w:rFonts w:ascii="Times New Roman" w:hAnsi="Times New Roman"/>
          <w:b/>
          <w:bCs/>
          <w:i/>
          <w:iCs/>
          <w:sz w:val="24"/>
          <w:szCs w:val="24"/>
          <w:lang w:val="uk-UA" w:eastAsia="ru-RU"/>
        </w:rPr>
        <w:t>й:</w:t>
      </w:r>
      <w:r w:rsidR="005D1FE9" w:rsidRPr="004A0F7F">
        <w:rPr>
          <w:rFonts w:ascii="Times New Roman" w:hAnsi="Times New Roman"/>
          <w:sz w:val="24"/>
          <w:szCs w:val="24"/>
          <w:lang w:val="uk-UA" w:eastAsia="ru-RU"/>
        </w:rPr>
        <w:t xml:space="preserve">  </w:t>
      </w:r>
    </w:p>
    <w:p w14:paraId="4749446C" w14:textId="0F2C3CEC" w:rsidR="00EE46C8" w:rsidRDefault="00EE46C8" w:rsidP="00EE46C8">
      <w:pPr>
        <w:spacing w:before="100" w:beforeAutospacing="1"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Прийняте рішення </w:t>
      </w:r>
      <w:proofErr w:type="spellStart"/>
      <w:r w:rsidRPr="00EE46C8">
        <w:rPr>
          <w:rFonts w:ascii="Times New Roman" w:hAnsi="Times New Roman"/>
          <w:sz w:val="24"/>
          <w:szCs w:val="24"/>
          <w:lang w:val="uk-UA" w:eastAsia="ru-RU"/>
        </w:rPr>
        <w:t>Бучанської</w:t>
      </w:r>
      <w:proofErr w:type="spellEnd"/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міської ради від 09.07.2024 № </w:t>
      </w:r>
      <w:r w:rsidRPr="00E760FB">
        <w:rPr>
          <w:rFonts w:ascii="Times New Roman" w:hAnsi="Times New Roman"/>
          <w:sz w:val="24"/>
          <w:szCs w:val="24"/>
          <w:lang w:val="uk-UA"/>
        </w:rPr>
        <w:t xml:space="preserve">4591-60-VIII «Про встановлення ставок та пільг із сплати земельного податку на території </w:t>
      </w:r>
      <w:proofErr w:type="spellStart"/>
      <w:r w:rsidRPr="00E760FB">
        <w:rPr>
          <w:rFonts w:ascii="Times New Roman" w:hAnsi="Times New Roman"/>
          <w:sz w:val="24"/>
          <w:szCs w:val="24"/>
          <w:lang w:val="uk-UA"/>
        </w:rPr>
        <w:t>Бучанської</w:t>
      </w:r>
      <w:proofErr w:type="spellEnd"/>
      <w:r w:rsidRPr="00E760FB">
        <w:rPr>
          <w:rFonts w:ascii="Times New Roman" w:hAnsi="Times New Roman"/>
          <w:sz w:val="24"/>
          <w:szCs w:val="24"/>
          <w:lang w:val="uk-UA"/>
        </w:rPr>
        <w:t xml:space="preserve"> міської територіальної громади»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розроблено відповідно до норм чинного законодавства України. Встановлення ставок </w:t>
      </w:r>
      <w:r>
        <w:rPr>
          <w:rFonts w:ascii="Times New Roman" w:hAnsi="Times New Roman"/>
          <w:sz w:val="24"/>
          <w:szCs w:val="24"/>
          <w:lang w:val="uk-UA" w:eastAsia="ru-RU"/>
        </w:rPr>
        <w:t>та пільг зі сплати земельного податку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здійснено з урахуванням вимог Податкового кодексу України та принципів державної регуляторної політики.</w:t>
      </w:r>
    </w:p>
    <w:p w14:paraId="62970C28" w14:textId="77777777" w:rsidR="00B170EC" w:rsidRDefault="00B170EC" w:rsidP="00EE46C8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B170EC">
        <w:rPr>
          <w:rFonts w:ascii="Times New Roman" w:hAnsi="Times New Roman"/>
          <w:sz w:val="24"/>
          <w:szCs w:val="24"/>
          <w:lang w:val="uk-UA" w:eastAsia="ru-RU"/>
        </w:rPr>
        <w:t xml:space="preserve">Налагоджено комунікацію між виконавчими органами міської ради та контролюючими органами, затверджено технічну документацію з нормативної грошової оцінки земель та </w:t>
      </w:r>
      <w:proofErr w:type="spellStart"/>
      <w:r w:rsidRPr="00B170EC">
        <w:rPr>
          <w:rFonts w:ascii="Times New Roman" w:hAnsi="Times New Roman"/>
          <w:sz w:val="24"/>
          <w:szCs w:val="24"/>
          <w:lang w:val="uk-UA" w:eastAsia="ru-RU"/>
        </w:rPr>
        <w:t>переглянуто</w:t>
      </w:r>
      <w:proofErr w:type="spellEnd"/>
      <w:r w:rsidRPr="00B170EC">
        <w:rPr>
          <w:rFonts w:ascii="Times New Roman" w:hAnsi="Times New Roman"/>
          <w:sz w:val="24"/>
          <w:szCs w:val="24"/>
          <w:lang w:val="uk-UA" w:eastAsia="ru-RU"/>
        </w:rPr>
        <w:t xml:space="preserve"> ставки земельного податку відповідно до вимог чинного законодавства.</w:t>
      </w:r>
    </w:p>
    <w:p w14:paraId="60D2C504" w14:textId="03F4D4DE" w:rsidR="00EE46C8" w:rsidRPr="00EE46C8" w:rsidRDefault="00EE46C8" w:rsidP="00EE46C8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E46C8">
        <w:rPr>
          <w:rFonts w:ascii="Times New Roman" w:hAnsi="Times New Roman"/>
          <w:sz w:val="24"/>
          <w:szCs w:val="24"/>
          <w:lang w:val="uk-UA" w:eastAsia="ru-RU"/>
        </w:rPr>
        <w:lastRenderedPageBreak/>
        <w:t xml:space="preserve">Таким чином, прийняття зазначеного регуляторного </w:t>
      </w:r>
      <w:proofErr w:type="spellStart"/>
      <w:r w:rsidRPr="00EE46C8">
        <w:rPr>
          <w:rFonts w:ascii="Times New Roman" w:hAnsi="Times New Roman"/>
          <w:sz w:val="24"/>
          <w:szCs w:val="24"/>
          <w:lang w:val="uk-UA" w:eastAsia="ru-RU"/>
        </w:rPr>
        <w:t>акта</w:t>
      </w:r>
      <w:proofErr w:type="spellEnd"/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забезпечило досягнення цілей, визначених під час його затвердження, що підтверджується позитивною динамікою показників у 2025 році порівняно з фактичними показниками 2024 року.</w:t>
      </w:r>
    </w:p>
    <w:p w14:paraId="10DD1CDF" w14:textId="7BFDBE56" w:rsidR="00EE46C8" w:rsidRPr="00EE46C8" w:rsidRDefault="00EE46C8" w:rsidP="00B170EC">
      <w:pPr>
        <w:spacing w:after="0"/>
        <w:ind w:firstLine="851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Кількість платників </w:t>
      </w:r>
      <w:r w:rsidR="00B170EC" w:rsidRPr="00CA0839">
        <w:rPr>
          <w:rFonts w:ascii="Times New Roman" w:hAnsi="Times New Roman"/>
          <w:sz w:val="24"/>
          <w:szCs w:val="24"/>
          <w:lang w:val="uk-UA"/>
        </w:rPr>
        <w:t>земельного податку</w:t>
      </w:r>
      <w:r w:rsidR="00B170EC" w:rsidRPr="00EE46C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- юридичних осіб </w:t>
      </w:r>
      <w:r w:rsidR="00B170EC">
        <w:rPr>
          <w:rFonts w:ascii="Times New Roman" w:hAnsi="Times New Roman"/>
          <w:sz w:val="24"/>
          <w:szCs w:val="24"/>
          <w:lang w:val="uk-UA" w:eastAsia="ru-RU"/>
        </w:rPr>
        <w:t xml:space="preserve">збільшено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у 2025 році </w:t>
      </w:r>
      <w:r w:rsidR="00B170EC">
        <w:rPr>
          <w:rFonts w:ascii="Times New Roman" w:hAnsi="Times New Roman"/>
          <w:sz w:val="24"/>
          <w:szCs w:val="24"/>
          <w:lang w:val="uk-UA" w:eastAsia="ru-RU"/>
        </w:rPr>
        <w:t xml:space="preserve">на  21,51 % відповідно до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2024 року. </w:t>
      </w:r>
      <w:r w:rsidR="00B170EC" w:rsidRPr="00EE46C8">
        <w:rPr>
          <w:rFonts w:ascii="Times New Roman" w:hAnsi="Times New Roman"/>
          <w:sz w:val="24"/>
          <w:szCs w:val="24"/>
          <w:lang w:val="uk-UA" w:eastAsia="ru-RU"/>
        </w:rPr>
        <w:t>Відповідно,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сума надходжень </w:t>
      </w:r>
      <w:bookmarkStart w:id="0" w:name="_GoBack"/>
      <w:bookmarkEnd w:id="0"/>
      <w:r w:rsidR="00B170EC" w:rsidRPr="00CA0839">
        <w:rPr>
          <w:rFonts w:ascii="Times New Roman" w:hAnsi="Times New Roman"/>
          <w:sz w:val="24"/>
          <w:szCs w:val="24"/>
          <w:lang w:val="uk-UA"/>
        </w:rPr>
        <w:t xml:space="preserve">до </w:t>
      </w:r>
      <w:r w:rsidR="00C04E89">
        <w:rPr>
          <w:rFonts w:ascii="Times New Roman" w:hAnsi="Times New Roman"/>
          <w:sz w:val="24"/>
          <w:szCs w:val="24"/>
          <w:lang w:val="uk-UA"/>
        </w:rPr>
        <w:t xml:space="preserve">місцевого </w:t>
      </w:r>
      <w:r w:rsidR="00B170EC" w:rsidRPr="00CA0839">
        <w:rPr>
          <w:rFonts w:ascii="Times New Roman" w:hAnsi="Times New Roman"/>
          <w:sz w:val="24"/>
          <w:szCs w:val="24"/>
          <w:lang w:val="uk-UA"/>
        </w:rPr>
        <w:t>бюджету від сплати земельного податку юридичними особами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збільшилася на </w:t>
      </w:r>
      <w:r w:rsidR="00B170EC">
        <w:rPr>
          <w:rFonts w:ascii="Times New Roman" w:hAnsi="Times New Roman"/>
          <w:sz w:val="24"/>
          <w:szCs w:val="24"/>
          <w:lang w:val="uk-UA" w:eastAsia="ru-RU"/>
        </w:rPr>
        <w:t>48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,</w:t>
      </w:r>
      <w:r w:rsidR="00B170EC">
        <w:rPr>
          <w:rFonts w:ascii="Times New Roman" w:hAnsi="Times New Roman"/>
          <w:sz w:val="24"/>
          <w:szCs w:val="24"/>
          <w:lang w:val="uk-UA" w:eastAsia="ru-RU"/>
        </w:rPr>
        <w:t>17</w:t>
      </w:r>
      <w:r w:rsidR="00110791">
        <w:rPr>
          <w:rFonts w:ascii="Times New Roman" w:hAnsi="Times New Roman"/>
          <w:sz w:val="24"/>
          <w:szCs w:val="24"/>
          <w:lang w:val="uk-UA" w:eastAsia="ru-RU"/>
        </w:rPr>
        <w:t xml:space="preserve"> %.</w:t>
      </w:r>
    </w:p>
    <w:p w14:paraId="16592B99" w14:textId="56FCD64C" w:rsidR="005D1FE9" w:rsidRPr="00015673" w:rsidRDefault="00EE46C8" w:rsidP="00EE46C8">
      <w:pPr>
        <w:ind w:firstLine="851"/>
        <w:jc w:val="both"/>
        <w:rPr>
          <w:rFonts w:ascii="Times New Roman" w:hAnsi="Times New Roman"/>
          <w:vanish/>
          <w:sz w:val="24"/>
          <w:szCs w:val="24"/>
          <w:lang w:val="uk-UA" w:eastAsia="ru-RU"/>
        </w:rPr>
      </w:pP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Кількість платників </w:t>
      </w:r>
      <w:r w:rsidR="00110791" w:rsidRPr="00CA0839">
        <w:rPr>
          <w:rFonts w:ascii="Times New Roman" w:hAnsi="Times New Roman"/>
          <w:sz w:val="24"/>
          <w:szCs w:val="24"/>
          <w:lang w:val="uk-UA"/>
        </w:rPr>
        <w:t>земельного податку</w:t>
      </w:r>
      <w:r w:rsidR="00110791" w:rsidRPr="00EE46C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- фізичних осіб у 2025 році збільшилася на </w:t>
      </w:r>
      <w:r w:rsidR="00110791">
        <w:rPr>
          <w:rFonts w:ascii="Times New Roman" w:hAnsi="Times New Roman"/>
          <w:sz w:val="24"/>
          <w:szCs w:val="24"/>
          <w:lang w:val="uk-UA" w:eastAsia="ru-RU"/>
        </w:rPr>
        <w:t>25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,</w:t>
      </w:r>
      <w:r w:rsidR="00110791"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6 % порівняно з 2024 роком. Відповідно, сума надходжень від сплати </w:t>
      </w:r>
      <w:r w:rsidR="00110791">
        <w:rPr>
          <w:rFonts w:ascii="Times New Roman" w:hAnsi="Times New Roman"/>
          <w:sz w:val="24"/>
          <w:szCs w:val="24"/>
          <w:lang w:val="uk-UA" w:eastAsia="ru-RU"/>
        </w:rPr>
        <w:t>земельного податку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фізичними особами зросла на </w:t>
      </w:r>
      <w:r w:rsidR="001005F4" w:rsidRPr="001005F4">
        <w:rPr>
          <w:rFonts w:ascii="Times New Roman" w:hAnsi="Times New Roman"/>
          <w:sz w:val="24"/>
          <w:szCs w:val="24"/>
          <w:lang w:eastAsia="ru-RU"/>
        </w:rPr>
        <w:t>176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>,</w:t>
      </w:r>
      <w:r w:rsidR="001005F4" w:rsidRPr="001005F4">
        <w:rPr>
          <w:rFonts w:ascii="Times New Roman" w:hAnsi="Times New Roman"/>
          <w:sz w:val="24"/>
          <w:szCs w:val="24"/>
          <w:lang w:eastAsia="ru-RU"/>
        </w:rPr>
        <w:t>88</w:t>
      </w:r>
      <w:r w:rsidRPr="00EE46C8">
        <w:rPr>
          <w:rFonts w:ascii="Times New Roman" w:hAnsi="Times New Roman"/>
          <w:sz w:val="24"/>
          <w:szCs w:val="24"/>
          <w:lang w:val="uk-UA" w:eastAsia="ru-RU"/>
        </w:rPr>
        <w:t xml:space="preserve"> %.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6"/>
      </w:tblGrid>
      <w:tr w:rsidR="005D1FE9" w:rsidRPr="00EE46C8" w14:paraId="374C29C0" w14:textId="77777777" w:rsidTr="003D7709">
        <w:trPr>
          <w:tblCellSpacing w:w="15" w:type="dxa"/>
        </w:trPr>
        <w:tc>
          <w:tcPr>
            <w:tcW w:w="0" w:type="auto"/>
          </w:tcPr>
          <w:p w14:paraId="75EA4453" w14:textId="77777777" w:rsidR="005D1FE9" w:rsidRPr="00015673" w:rsidRDefault="005D1FE9" w:rsidP="003D7709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C40201" w:rsidRPr="00EE46C8" w14:paraId="34565E24" w14:textId="77777777" w:rsidTr="003D7709">
        <w:trPr>
          <w:tblCellSpacing w:w="15" w:type="dxa"/>
        </w:trPr>
        <w:tc>
          <w:tcPr>
            <w:tcW w:w="0" w:type="auto"/>
          </w:tcPr>
          <w:p w14:paraId="2209AAC1" w14:textId="77777777" w:rsidR="00C40201" w:rsidRDefault="00C40201" w:rsidP="003D7709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  <w:p w14:paraId="52BCE97E" w14:textId="67E86FF9" w:rsidR="00C40201" w:rsidRPr="00015673" w:rsidRDefault="00C40201" w:rsidP="003D7709">
            <w:pPr>
              <w:spacing w:before="100" w:beforeAutospacing="1" w:line="240" w:lineRule="auto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</w:p>
        </w:tc>
      </w:tr>
    </w:tbl>
    <w:p w14:paraId="75C3BE80" w14:textId="77777777" w:rsidR="00297DCE" w:rsidRPr="00297DCE" w:rsidRDefault="00297DCE" w:rsidP="00B90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97DCE">
        <w:rPr>
          <w:rFonts w:ascii="Times New Roman" w:hAnsi="Times New Roman"/>
          <w:b/>
          <w:sz w:val="24"/>
          <w:szCs w:val="24"/>
          <w:lang w:val="uk-UA"/>
        </w:rPr>
        <w:t xml:space="preserve">Начальник </w:t>
      </w:r>
    </w:p>
    <w:p w14:paraId="717029AF" w14:textId="756B7046" w:rsidR="00297DCE" w:rsidRPr="00297DCE" w:rsidRDefault="00297DCE" w:rsidP="00B90C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97DCE">
        <w:rPr>
          <w:rFonts w:ascii="Times New Roman" w:hAnsi="Times New Roman"/>
          <w:b/>
          <w:sz w:val="24"/>
          <w:szCs w:val="24"/>
          <w:lang w:val="uk-UA"/>
        </w:rPr>
        <w:t>відділу економічного розвитку та інвестицій</w:t>
      </w:r>
      <w:r w:rsidRPr="00297DCE">
        <w:rPr>
          <w:rFonts w:ascii="Times New Roman" w:hAnsi="Times New Roman"/>
          <w:b/>
          <w:sz w:val="24"/>
          <w:szCs w:val="24"/>
          <w:lang w:val="uk-UA"/>
        </w:rPr>
        <w:tab/>
      </w:r>
      <w:r w:rsidRPr="00297DCE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</w:t>
      </w:r>
      <w:r w:rsidR="00B90CEF">
        <w:rPr>
          <w:rFonts w:ascii="Times New Roman" w:hAnsi="Times New Roman"/>
          <w:b/>
          <w:sz w:val="24"/>
          <w:szCs w:val="24"/>
          <w:lang w:val="uk-UA"/>
        </w:rPr>
        <w:t xml:space="preserve">     </w:t>
      </w:r>
      <w:r w:rsidRPr="00297DCE">
        <w:rPr>
          <w:rFonts w:ascii="Times New Roman" w:hAnsi="Times New Roman"/>
          <w:b/>
          <w:sz w:val="24"/>
          <w:szCs w:val="24"/>
          <w:lang w:val="uk-UA"/>
        </w:rPr>
        <w:t xml:space="preserve">    Тетяна ЛІПІНСЬКА</w:t>
      </w:r>
    </w:p>
    <w:p w14:paraId="76FC2212" w14:textId="77777777" w:rsidR="00297DCE" w:rsidRPr="00297DCE" w:rsidRDefault="00297DCE" w:rsidP="00297DCE">
      <w:pPr>
        <w:spacing w:before="100" w:beforeAutospacing="1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14:paraId="41B4045A" w14:textId="77777777" w:rsidR="00297DCE" w:rsidRPr="001005F4" w:rsidRDefault="00297DCE" w:rsidP="00B90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005F4">
        <w:rPr>
          <w:rFonts w:ascii="Times New Roman" w:hAnsi="Times New Roman"/>
          <w:sz w:val="24"/>
          <w:szCs w:val="24"/>
          <w:lang w:val="uk-UA"/>
        </w:rPr>
        <w:t xml:space="preserve">Головний спеціаліст </w:t>
      </w:r>
    </w:p>
    <w:p w14:paraId="7FEA7F7E" w14:textId="659BC17A" w:rsidR="00C13A67" w:rsidRPr="001005F4" w:rsidRDefault="00297DCE" w:rsidP="00B90CE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005F4">
        <w:rPr>
          <w:rFonts w:ascii="Times New Roman" w:hAnsi="Times New Roman"/>
          <w:sz w:val="24"/>
          <w:szCs w:val="24"/>
          <w:lang w:val="uk-UA"/>
        </w:rPr>
        <w:t xml:space="preserve">відділу економічного розвитку та інвестицій                                            </w:t>
      </w:r>
      <w:r w:rsidR="001005F4" w:rsidRPr="001005F4">
        <w:rPr>
          <w:rFonts w:ascii="Times New Roman" w:hAnsi="Times New Roman"/>
          <w:sz w:val="24"/>
          <w:szCs w:val="24"/>
        </w:rPr>
        <w:t xml:space="preserve">       </w:t>
      </w:r>
      <w:r w:rsidR="00943A9C" w:rsidRPr="001005F4">
        <w:rPr>
          <w:rFonts w:ascii="Times New Roman" w:hAnsi="Times New Roman"/>
          <w:sz w:val="24"/>
          <w:szCs w:val="24"/>
          <w:lang w:val="uk-UA"/>
        </w:rPr>
        <w:t>Тетяна СЕМЕНЕНКО</w:t>
      </w:r>
    </w:p>
    <w:sectPr w:rsidR="00C13A67" w:rsidRPr="001005F4" w:rsidSect="003D770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84E13"/>
    <w:multiLevelType w:val="hybridMultilevel"/>
    <w:tmpl w:val="EA0A1F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A28670">
      <w:start w:val="1"/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7984C36"/>
    <w:multiLevelType w:val="hybridMultilevel"/>
    <w:tmpl w:val="028E4D12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B3011D"/>
    <w:multiLevelType w:val="hybridMultilevel"/>
    <w:tmpl w:val="1572136E"/>
    <w:lvl w:ilvl="0" w:tplc="10A286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962"/>
    <w:rsid w:val="000A5327"/>
    <w:rsid w:val="000A7DD3"/>
    <w:rsid w:val="001005F4"/>
    <w:rsid w:val="00110791"/>
    <w:rsid w:val="00184E2E"/>
    <w:rsid w:val="001C1CE7"/>
    <w:rsid w:val="00262DF0"/>
    <w:rsid w:val="00297DCE"/>
    <w:rsid w:val="003074C8"/>
    <w:rsid w:val="00337CF7"/>
    <w:rsid w:val="00346A67"/>
    <w:rsid w:val="003D09CA"/>
    <w:rsid w:val="003D7709"/>
    <w:rsid w:val="005D1FE9"/>
    <w:rsid w:val="00844B51"/>
    <w:rsid w:val="00913F7F"/>
    <w:rsid w:val="00943A9C"/>
    <w:rsid w:val="00975037"/>
    <w:rsid w:val="009B0538"/>
    <w:rsid w:val="00B170EC"/>
    <w:rsid w:val="00B90CEF"/>
    <w:rsid w:val="00C04E89"/>
    <w:rsid w:val="00C13A67"/>
    <w:rsid w:val="00C40201"/>
    <w:rsid w:val="00C93106"/>
    <w:rsid w:val="00E13966"/>
    <w:rsid w:val="00E60962"/>
    <w:rsid w:val="00E760FB"/>
    <w:rsid w:val="00EE46C8"/>
    <w:rsid w:val="00FB5CF0"/>
    <w:rsid w:val="00FD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DE363"/>
  <w15:chartTrackingRefBased/>
  <w15:docId w15:val="{00FEE14F-3B48-4BAE-A3FC-AD5DEEE4B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FE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D1F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00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5F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1159</TotalTime>
  <Pages>3</Pages>
  <Words>3122</Words>
  <Characters>1780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Tetiana Semenenko</cp:lastModifiedBy>
  <cp:revision>19</cp:revision>
  <cp:lastPrinted>2026-05-12T12:11:00Z</cp:lastPrinted>
  <dcterms:created xsi:type="dcterms:W3CDTF">2023-11-15T08:54:00Z</dcterms:created>
  <dcterms:modified xsi:type="dcterms:W3CDTF">2026-05-12T12:12:00Z</dcterms:modified>
</cp:coreProperties>
</file>