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7F" w:rsidRPr="004A0F7F" w:rsidRDefault="004A0F7F" w:rsidP="004A0F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Звіт про </w:t>
      </w:r>
      <w:r w:rsidR="00581C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повторне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відстеження результативності </w:t>
      </w:r>
    </w:p>
    <w:p w:rsidR="004A0F7F" w:rsidRPr="004A0F7F" w:rsidRDefault="004A0F7F" w:rsidP="004A0F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Рішення Бучанської міської ради «Про упорядкування торгівлі алкогольними напоями та пивом на території </w:t>
      </w:r>
      <w:proofErr w:type="spellStart"/>
      <w:r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м.Буча</w:t>
      </w:r>
      <w:proofErr w:type="spellEnd"/>
      <w:r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»</w:t>
      </w:r>
    </w:p>
    <w:p w:rsidR="004A0F7F" w:rsidRPr="004A0F7F" w:rsidRDefault="004A0F7F" w:rsidP="004A0F7F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Вид та назва регуляторного акта</w:t>
      </w:r>
      <w:r w:rsidR="00F13824"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4A0F7F" w:rsidRPr="004A0F7F" w:rsidRDefault="004A0F7F" w:rsidP="004A0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 Рішення Бучанської міської ради від 24.11.2011 № 440-17-VІ «Про упорядкування торгівлі алкогольними напоями та пивом на території м. Буча» </w:t>
      </w:r>
    </w:p>
    <w:p w:rsidR="004A0F7F" w:rsidRPr="00F13824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="00F13824"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4A0F7F" w:rsidRPr="004A0F7F" w:rsidRDefault="004A0F7F" w:rsidP="004A0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</w:t>
      </w:r>
      <w:r w:rsidR="00962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економіки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</w:t>
      </w:r>
      <w:r w:rsidR="00962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учанської міської ради.</w:t>
      </w:r>
    </w:p>
    <w:p w:rsidR="004A0F7F" w:rsidRPr="004A0F7F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3.  Цілі прийняття акта</w:t>
      </w:r>
      <w:r w:rsidR="0096209B"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4A0F7F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 заборона р</w:t>
      </w:r>
      <w:r w:rsidR="00962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оздрібної торгівлі алкогольними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620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напоями та тютюновими виробами на об’єктах торгівлі (окрім мережевих супермаркетів і закладів громадського харчування),  які розташовані в радіусі 200 метрів від земельних меж (огородження) навчальних та медичних закладів;</w:t>
      </w:r>
    </w:p>
    <w:p w:rsidR="0096209B" w:rsidRPr="004A0F7F" w:rsidRDefault="0096209B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впорядкування роботи магазинів, кіосків, секцій тощо, які здійснюють роздрібну торгівлю алкогольними напоями та пивом )за виключенням мережевих супермаркетів і закладів громадського харчування), заборонивши їм торгівлю алкогольними напоями та пивом з 22.00 до 8.00 години.</w:t>
      </w:r>
    </w:p>
    <w:p w:rsidR="004A0F7F" w:rsidRPr="004A0F7F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4</w:t>
      </w:r>
      <w:r w:rsidR="00F13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 w:rsidR="00F1382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:</w:t>
      </w:r>
    </w:p>
    <w:p w:rsidR="004A0F7F" w:rsidRPr="004A0F7F" w:rsidRDefault="004A0F7F" w:rsidP="00011372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="006A7D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05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84E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A7D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684E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</w:t>
      </w:r>
      <w:r w:rsidR="00684E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0113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684E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684E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A0F7F" w:rsidRPr="004A0F7F" w:rsidRDefault="00F13824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="004A0F7F"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:</w:t>
      </w:r>
      <w:r w:rsidR="004A0F7F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A0F7F" w:rsidRPr="004A0F7F" w:rsidRDefault="00A86CF8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Повторне</w:t>
      </w:r>
      <w:r w:rsidR="004A0F7F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відстеження</w:t>
      </w:r>
      <w:r w:rsid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A0F7F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A0F7F" w:rsidRPr="004A0F7F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6</w:t>
      </w:r>
      <w:r w:rsidR="00F13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 w:rsidR="00F13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4A0F7F" w:rsidRPr="004A0F7F" w:rsidRDefault="004A0F7F" w:rsidP="00F13824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</w:t>
      </w:r>
      <w:r w:rsidR="000113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:rsidR="004A0F7F" w:rsidRPr="004A0F7F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7</w:t>
      </w:r>
      <w:r w:rsidR="00F13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     а також способи одержання дани</w:t>
      </w:r>
      <w:r w:rsidR="00F13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:rsidR="00F13824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</w:t>
      </w:r>
      <w:r w:rsidR="000113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відстеження результативності даного регуляторного акта були визначені такі статистичні показники результативності:</w:t>
      </w:r>
    </w:p>
    <w:p w:rsidR="00F13824" w:rsidRDefault="00F13824" w:rsidP="00F13824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кількість отриманих скарг з</w:t>
      </w:r>
      <w:r w:rsidRPr="00F1382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приводу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здійснення продажу алкогольних на</w:t>
      </w:r>
      <w:r w:rsidRP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поїв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P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пива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нічний час;</w:t>
      </w:r>
    </w:p>
    <w:p w:rsidR="00F13824" w:rsidRDefault="004A0F7F" w:rsidP="00F13824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кількість складених протоколів за провадження торгівлі в нічний час алкогольними</w:t>
      </w:r>
      <w:r w:rsid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напоями та пивом;</w:t>
      </w:r>
    </w:p>
    <w:p w:rsidR="00F13824" w:rsidRPr="00F13824" w:rsidRDefault="00F13824" w:rsidP="00F13824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кількість складених протоколів за провадження роздрібної торгівлі алкогольними напоями та тютюновими виробами на об’єктах торгівлі (окрім мережевих супермаркетів і закладів громадського харчування),  які розташовані в радіусі 200 метрів від земельних меж (огородження)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навчальних та медичних закладів.</w:t>
      </w:r>
    </w:p>
    <w:p w:rsidR="005E70C7" w:rsidRDefault="005E70C7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4A0F7F" w:rsidRPr="004A0F7F" w:rsidRDefault="004A0F7F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lastRenderedPageBreak/>
        <w:t>8</w:t>
      </w:r>
      <w:r w:rsidR="00F13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Кількісні та якісні значення показників результативност</w:t>
      </w:r>
      <w:r w:rsidR="00F13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5066"/>
        <w:gridCol w:w="1289"/>
        <w:gridCol w:w="1208"/>
        <w:gridCol w:w="1339"/>
      </w:tblGrid>
      <w:tr w:rsidR="00384024" w:rsidRPr="004A0F7F" w:rsidTr="00384024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024" w:rsidRPr="004A0F7F" w:rsidRDefault="00384024" w:rsidP="00262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п/п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4024" w:rsidRPr="004A0F7F" w:rsidRDefault="00384024" w:rsidP="00262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817A6E" w:rsidRDefault="00384024" w:rsidP="00817A6E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2011 рік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817A6E" w:rsidRDefault="00384024" w:rsidP="00330107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2012 рік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817A6E" w:rsidRDefault="00384024" w:rsidP="00384024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2013 рік</w:t>
            </w:r>
          </w:p>
        </w:tc>
      </w:tr>
      <w:tr w:rsidR="00384024" w:rsidRPr="004A0F7F" w:rsidTr="00384024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24" w:rsidRPr="004A0F7F" w:rsidRDefault="00384024" w:rsidP="00817A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24" w:rsidRPr="004A0F7F" w:rsidRDefault="00384024" w:rsidP="00817A6E">
            <w:pPr>
              <w:spacing w:before="100" w:beforeAutospacing="1" w:after="100" w:afterAutospacing="1" w:line="240" w:lineRule="auto"/>
              <w:ind w:left="127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ількість отриманих скарг з</w:t>
            </w:r>
            <w:r w:rsidRPr="00817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приводу здійснення продажу алкогольних напоїв та пива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нічний час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AA637C" w:rsidP="00AA637C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усні звернення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AA637C" w:rsidP="00AA637C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усні звернення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AA637C" w:rsidP="00AA637C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усні звернення</w:t>
            </w:r>
          </w:p>
        </w:tc>
      </w:tr>
      <w:tr w:rsidR="00384024" w:rsidRPr="004A0F7F" w:rsidTr="00384024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24" w:rsidRPr="004A0F7F" w:rsidRDefault="00384024" w:rsidP="00817A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024" w:rsidRPr="004A0F7F" w:rsidRDefault="00384024" w:rsidP="00817A6E">
            <w:pPr>
              <w:spacing w:before="100" w:beforeAutospacing="1" w:after="100" w:afterAutospacing="1" w:line="240" w:lineRule="auto"/>
              <w:ind w:left="127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ількість складених протоколів за провадження торгівлі в нічний час алкогольними напоями та пивом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384024" w:rsidP="00F13824">
            <w:pPr>
              <w:spacing w:before="100" w:beforeAutospacing="1" w:after="100" w:afterAutospacing="1" w:line="240" w:lineRule="auto"/>
              <w:ind w:right="119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384024" w:rsidP="00330107">
            <w:pPr>
              <w:spacing w:before="100" w:beforeAutospacing="1" w:after="100" w:afterAutospacing="1" w:line="240" w:lineRule="auto"/>
              <w:ind w:right="119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384024" w:rsidP="00F13824">
            <w:pPr>
              <w:spacing w:before="100" w:beforeAutospacing="1" w:after="100" w:afterAutospacing="1" w:line="240" w:lineRule="auto"/>
              <w:ind w:right="119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384024" w:rsidRPr="00384024" w:rsidTr="00384024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384024" w:rsidP="00817A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384024" w:rsidP="00384024">
            <w:pPr>
              <w:spacing w:before="100" w:beforeAutospacing="1" w:after="100" w:afterAutospacing="1" w:line="240" w:lineRule="auto"/>
              <w:ind w:left="127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ількість складених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актів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провадження роздрібної торгівлі алкогольними напоями та тютюновими виробами на об’єктах торгівлі (окрім мережевих супермаркетів і закладів громадського харчування),  які розташовані в радіусі 200 метрів від земельних меж (огородження) навчальних та медичних закладів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384024" w:rsidP="00F13824">
            <w:pPr>
              <w:spacing w:before="100" w:beforeAutospacing="1" w:after="100" w:afterAutospacing="1" w:line="240" w:lineRule="auto"/>
              <w:ind w:right="119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384024" w:rsidP="00330107">
            <w:pPr>
              <w:spacing w:before="100" w:beforeAutospacing="1" w:after="100" w:afterAutospacing="1" w:line="240" w:lineRule="auto"/>
              <w:ind w:right="119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4024" w:rsidRPr="004A0F7F" w:rsidRDefault="00384024" w:rsidP="00F13824">
            <w:pPr>
              <w:spacing w:before="100" w:beforeAutospacing="1" w:after="100" w:afterAutospacing="1" w:line="240" w:lineRule="auto"/>
              <w:ind w:right="119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</w:tbl>
    <w:p w:rsidR="007A03E0" w:rsidRDefault="00684EF2" w:rsidP="00684EF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На протязі 2013 року, інспекцією з благоустрою, відділом освіти спільно з представниками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правохоронних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органів, соціальних служб, було здійснено ряд рейдів з метою контролю за виконанням даного рішення. По результатам перевірки було складено перелік суб’єктів господарювання, які здійснюють реалізацію алкогольних напоїв. Була складено також 8 актів обстеження закладів, що проводять торгівлю алкогольними та тютюновими виробами, що розташовані </w:t>
      </w:r>
      <w:r w:rsidRPr="00F138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радіусі 200 метрів від земельних меж (огородження)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навчальних та медичних закладів. Рішенням виконавчого комітету</w:t>
      </w:r>
      <w:r w:rsidR="007F7C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356 від 15 жовтня 2013 року заборонено здійснювати діяльність щодо реалізації алкогольних напоїв та тютюнових виробів вищевказаних суб’єктів господарювання.</w:t>
      </w:r>
    </w:p>
    <w:p w:rsidR="004A0F7F" w:rsidRPr="00DD7092" w:rsidRDefault="00D96A31" w:rsidP="004A0F7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70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9. </w:t>
      </w:r>
      <w:r w:rsidR="004A0F7F" w:rsidRPr="00DD70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результатів реалізації регуляторного акта та ступеня досягнення визначених ціле</w:t>
      </w:r>
      <w:r w:rsidRPr="00DD70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й:</w:t>
      </w:r>
      <w:r w:rsidR="004A0F7F" w:rsidRPr="00DD70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</w:t>
      </w:r>
    </w:p>
    <w:p w:rsidR="00E1391C" w:rsidRDefault="00E1391C" w:rsidP="00E1391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Регуляторний акт було розміщено на сайті Бучанської міської ради, крім того</w:t>
      </w:r>
      <w:r w:rsidRPr="00E139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інспекцією з благоустрою було проведено ряд рейдів, направлених на інформування щодо кола суб’єктів господарювання, на яких розповсюджується дія даного акту. Таким чином, можна зробити висновок, про стовідсоткову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проінформованість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суб’єктів господарювання щодо даного регуляторного акту. </w:t>
      </w:r>
    </w:p>
    <w:p w:rsidR="00E1391C" w:rsidRDefault="00E1391C" w:rsidP="00E1391C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70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</w:t>
      </w:r>
      <w:r w:rsidR="003E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</w:t>
      </w:r>
      <w:r w:rsidRPr="00DD70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Бучанської міської ради від 24.11.2011 № 440-17-VІ «Про упорядкування торгівлі алкогольними напоями та пивом на території м. Буча»</w:t>
      </w:r>
      <w:r w:rsidR="003E73E9" w:rsidRPr="003E73E9">
        <w:rPr>
          <w:lang w:val="uk-UA"/>
        </w:rPr>
        <w:t xml:space="preserve"> </w:t>
      </w:r>
      <w:r w:rsidR="003E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направлено на </w:t>
      </w:r>
      <w:r w:rsidR="003E73E9" w:rsidRPr="003E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зменшення скарг і нарікань мешканців на роботу об’єктів торгівлі, випадків споживання молоддю пива та слабоалкогольних напоїв на вулицях міс</w:t>
      </w:r>
      <w:bookmarkStart w:id="0" w:name="_GoBack"/>
      <w:bookmarkEnd w:id="0"/>
      <w:r w:rsidR="003E73E9" w:rsidRPr="003E73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після 22.00, порушень громадського правопорядку у місті в нічний час за рахунок здійснення перевірок робочою групою спеціалістів міськвиконкому спільно з представниками правоохоронних органів. Забезпечено захист мешканців міста від негативного впливу шуму та запобігання шкідливого впливу алкоголю на стан здоров’я молодого покоління.</w:t>
      </w:r>
    </w:p>
    <w:p w:rsidR="003E73E9" w:rsidRDefault="003E73E9" w:rsidP="00E1391C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3E9">
        <w:rPr>
          <w:rFonts w:ascii="Times New Roman" w:hAnsi="Times New Roman" w:cs="Times New Roman"/>
          <w:sz w:val="24"/>
          <w:szCs w:val="24"/>
          <w:lang w:val="uk-UA"/>
        </w:rPr>
        <w:t>Враховуючи вищезазначене, регуляторний акт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73E9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73E9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Pr="00DD70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 міської ради від 24.11.2011 № 440-17-VІ «Про упорядкування торгівлі алкогольними напоями та пивом на території м. Буча»</w:t>
      </w:r>
      <w:r w:rsidRPr="003E73E9">
        <w:rPr>
          <w:lang w:val="uk-UA"/>
        </w:rPr>
        <w:t xml:space="preserve"> </w:t>
      </w:r>
      <w:r w:rsidRPr="003E73E9">
        <w:rPr>
          <w:rFonts w:ascii="Times New Roman" w:hAnsi="Times New Roman" w:cs="Times New Roman"/>
          <w:sz w:val="24"/>
          <w:szCs w:val="24"/>
          <w:lang w:val="uk-UA"/>
        </w:rPr>
        <w:t xml:space="preserve">на даний час </w:t>
      </w:r>
      <w:r w:rsidR="00716B30" w:rsidRPr="00716B30">
        <w:rPr>
          <w:rFonts w:ascii="Times New Roman" w:hAnsi="Times New Roman" w:cs="Times New Roman"/>
          <w:sz w:val="24"/>
          <w:szCs w:val="24"/>
          <w:lang w:val="uk-UA"/>
        </w:rPr>
        <w:t>визнаний ефективним</w:t>
      </w:r>
      <w:r w:rsidR="00716B30">
        <w:rPr>
          <w:rFonts w:ascii="Times New Roman" w:hAnsi="Times New Roman" w:cs="Times New Roman"/>
          <w:sz w:val="24"/>
          <w:szCs w:val="24"/>
          <w:lang w:val="uk-UA"/>
        </w:rPr>
        <w:t xml:space="preserve">, але </w:t>
      </w:r>
      <w:r>
        <w:rPr>
          <w:rFonts w:ascii="Times New Roman" w:hAnsi="Times New Roman" w:cs="Times New Roman"/>
          <w:sz w:val="24"/>
          <w:szCs w:val="24"/>
          <w:lang w:val="uk-UA"/>
        </w:rPr>
        <w:t>потребує подальшого контролю та проведення відстежень результативності.</w:t>
      </w:r>
    </w:p>
    <w:p w:rsidR="005E70C7" w:rsidRDefault="005E70C7" w:rsidP="00E1391C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70C7">
        <w:rPr>
          <w:rFonts w:ascii="Times New Roman" w:hAnsi="Times New Roman" w:cs="Times New Roman"/>
          <w:b/>
          <w:sz w:val="24"/>
          <w:szCs w:val="24"/>
          <w:lang w:val="uk-UA"/>
        </w:rPr>
        <w:t>Завідувач відділом економіки</w:t>
      </w:r>
      <w:r w:rsidRPr="005E70C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E70C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E70C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E70C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E70C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E70C7">
        <w:rPr>
          <w:rFonts w:ascii="Times New Roman" w:hAnsi="Times New Roman" w:cs="Times New Roman"/>
          <w:b/>
          <w:sz w:val="24"/>
          <w:szCs w:val="24"/>
          <w:lang w:val="uk-UA"/>
        </w:rPr>
        <w:tab/>
        <w:t>О.В.</w:t>
      </w:r>
      <w:proofErr w:type="spellStart"/>
      <w:r w:rsidRPr="005E70C7">
        <w:rPr>
          <w:rFonts w:ascii="Times New Roman" w:hAnsi="Times New Roman" w:cs="Times New Roman"/>
          <w:b/>
          <w:sz w:val="24"/>
          <w:szCs w:val="24"/>
          <w:lang w:val="uk-UA"/>
        </w:rPr>
        <w:t>Лукіна</w:t>
      </w:r>
      <w:proofErr w:type="spellEnd"/>
      <w:r w:rsidRPr="005E70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E70C7" w:rsidRPr="005E70C7" w:rsidRDefault="005E70C7" w:rsidP="00E1391C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Головний спеціаліст відділу економіки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М.М.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Кроткова</w:t>
      </w:r>
      <w:proofErr w:type="spellEnd"/>
    </w:p>
    <w:sectPr w:rsidR="005E70C7" w:rsidRPr="005E70C7" w:rsidSect="005E70C7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30D10"/>
    <w:multiLevelType w:val="hybridMultilevel"/>
    <w:tmpl w:val="A6C0C3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41817"/>
    <w:multiLevelType w:val="hybridMultilevel"/>
    <w:tmpl w:val="C1BAAD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6EF1346"/>
    <w:multiLevelType w:val="hybridMultilevel"/>
    <w:tmpl w:val="ECD08C48"/>
    <w:lvl w:ilvl="0" w:tplc="558E8F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1079"/>
    <w:rsid w:val="00011372"/>
    <w:rsid w:val="00031682"/>
    <w:rsid w:val="00064D03"/>
    <w:rsid w:val="0014355A"/>
    <w:rsid w:val="00262DE8"/>
    <w:rsid w:val="00273346"/>
    <w:rsid w:val="002856FD"/>
    <w:rsid w:val="00384024"/>
    <w:rsid w:val="003E73E9"/>
    <w:rsid w:val="004A0F7F"/>
    <w:rsid w:val="005447B3"/>
    <w:rsid w:val="00581CD5"/>
    <w:rsid w:val="005E70C7"/>
    <w:rsid w:val="0064081B"/>
    <w:rsid w:val="006461D6"/>
    <w:rsid w:val="00684EF2"/>
    <w:rsid w:val="006A7D2D"/>
    <w:rsid w:val="00716B30"/>
    <w:rsid w:val="007A03E0"/>
    <w:rsid w:val="007A33AF"/>
    <w:rsid w:val="007F7CC4"/>
    <w:rsid w:val="00817A6E"/>
    <w:rsid w:val="008861FF"/>
    <w:rsid w:val="00893084"/>
    <w:rsid w:val="0096209B"/>
    <w:rsid w:val="009D1079"/>
    <w:rsid w:val="00A86CF8"/>
    <w:rsid w:val="00AA637C"/>
    <w:rsid w:val="00BE7F6F"/>
    <w:rsid w:val="00D10C6B"/>
    <w:rsid w:val="00D96A31"/>
    <w:rsid w:val="00DC3078"/>
    <w:rsid w:val="00DD7092"/>
    <w:rsid w:val="00E1391C"/>
    <w:rsid w:val="00F13824"/>
    <w:rsid w:val="00F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1079"/>
    <w:rPr>
      <w:b/>
      <w:bCs/>
    </w:rPr>
  </w:style>
  <w:style w:type="character" w:styleId="a5">
    <w:name w:val="Emphasis"/>
    <w:basedOn w:val="a0"/>
    <w:uiPriority w:val="20"/>
    <w:qFormat/>
    <w:rsid w:val="009D107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D1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107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0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org0</cp:lastModifiedBy>
  <cp:revision>24</cp:revision>
  <cp:lastPrinted>2015-06-12T06:51:00Z</cp:lastPrinted>
  <dcterms:created xsi:type="dcterms:W3CDTF">2012-01-10T09:16:00Z</dcterms:created>
  <dcterms:modified xsi:type="dcterms:W3CDTF">2015-06-12T06:51:00Z</dcterms:modified>
</cp:coreProperties>
</file>