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AA" w:rsidRPr="00121A5A" w:rsidRDefault="004460AA" w:rsidP="00446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Аналіз регуляторного впливу</w:t>
      </w:r>
    </w:p>
    <w:p w:rsidR="004460AA" w:rsidRPr="00121A5A" w:rsidRDefault="004460AA" w:rsidP="00446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проекту рішення Бучанської міської ради </w:t>
      </w:r>
    </w:p>
    <w:p w:rsidR="003A2966" w:rsidRPr="00121A5A" w:rsidRDefault="004460AA" w:rsidP="003A2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«Про </w:t>
      </w:r>
      <w:r w:rsidR="003A2966"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затвердження Положення про правила </w:t>
      </w:r>
      <w:r w:rsidR="008E11DD"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="003A2966"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лагоустрою</w:t>
      </w:r>
      <w:r w:rsidRPr="00121A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міста Буча»</w:t>
      </w:r>
    </w:p>
    <w:p w:rsidR="007A1659" w:rsidRPr="00121A5A" w:rsidRDefault="007A1659" w:rsidP="007A1659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регуляторного впливу проекту рішення </w:t>
      </w:r>
      <w:r w:rsidR="008E11D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ради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11D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затвердження Положення про правила благоустрою міста Буча»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підготовлено згідно з вимогами Закону України </w:t>
      </w:r>
      <w:r w:rsidR="00F5628B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засади державної регуляторної політики у сфері господарської </w:t>
      </w:r>
      <w:r w:rsidR="00F5628B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діяльності»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Методики проведення аналізу впливу регуляторного акта, затвердженої постановою Кабінету Міністрів України від 11.03.04 № 308.</w:t>
      </w:r>
    </w:p>
    <w:p w:rsidR="00860AA0" w:rsidRPr="00121A5A" w:rsidRDefault="004460AA" w:rsidP="00860AA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Визначення проблеми, яку передбачається розв’язати шляхом державного регулювання</w:t>
      </w:r>
      <w:r w:rsidR="005B31DE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.</w:t>
      </w:r>
    </w:p>
    <w:p w:rsidR="00860AA0" w:rsidRPr="00121A5A" w:rsidRDefault="00860AA0" w:rsidP="00860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Благоустрій – це візитна картка кожного населеного пункту та показник рівня участі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громади у вирішенні проблем та перспектив розвитку сфери благоустрою та комунального обслуговування</w:t>
      </w:r>
      <w:r w:rsidR="00165E34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60AA0" w:rsidRPr="00121A5A" w:rsidRDefault="00860AA0" w:rsidP="00860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сьогоднішній день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загальна проб</w:t>
      </w:r>
      <w:r w:rsidR="0090670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лема підтримки благоустрою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вкрай актуальною. Наданим регуляторним актом пропонує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ться розв'язати такі проблеми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860AA0" w:rsidRPr="00121A5A" w:rsidRDefault="007A1659" w:rsidP="00860AA0">
      <w:pPr>
        <w:pStyle w:val="a3"/>
        <w:numPr>
          <w:ilvl w:val="0"/>
          <w:numId w:val="1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відсутність чітко встановлених правил та норм поведінки юридичних та фізичн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осіб у сфері благоустрою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60AA0" w:rsidRPr="00121A5A" w:rsidRDefault="007A1659" w:rsidP="00860AA0">
      <w:pPr>
        <w:pStyle w:val="a3"/>
        <w:numPr>
          <w:ilvl w:val="0"/>
          <w:numId w:val="1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відсутність чітко встановленого комплексу заходів, необхідних для забезпечення чистоти і порядку на території 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зокрема, порядку санітарного очищення, особливостей утримання території у зимовий 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літній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період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A1659" w:rsidRPr="00121A5A" w:rsidRDefault="007A1659" w:rsidP="00860AA0">
      <w:pPr>
        <w:pStyle w:val="a3"/>
        <w:numPr>
          <w:ilvl w:val="0"/>
          <w:numId w:val="1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наявність стихійних </w:t>
      </w:r>
      <w:proofErr w:type="spellStart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сміттєзвалищ</w:t>
      </w:r>
      <w:proofErr w:type="spellEnd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розміщення будівельних матеріалів (піску, щебеню, мішків із матеріалами та ін.), будівельного сміття та відходів на прибудинковій території, територіях житлової та громадської забудови, зелених зонах;</w:t>
      </w:r>
    </w:p>
    <w:p w:rsidR="007A1659" w:rsidRPr="00121A5A" w:rsidRDefault="007A1659" w:rsidP="00860AA0">
      <w:pPr>
        <w:pStyle w:val="a3"/>
        <w:numPr>
          <w:ilvl w:val="0"/>
          <w:numId w:val="1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відсутності у юридичних осіб договорів на вивезення твердих побутових відходів, складування відходів у непризначених для цього місцях;</w:t>
      </w:r>
    </w:p>
    <w:p w:rsidR="007A1659" w:rsidRPr="00121A5A" w:rsidRDefault="007A1659" w:rsidP="00860AA0">
      <w:pPr>
        <w:pStyle w:val="a3"/>
        <w:numPr>
          <w:ilvl w:val="0"/>
          <w:numId w:val="1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паркування транспорту на територіях зелених зон (газонах, квітниках, клумбах) та майданчиках для відпочинку та дозвілля;</w:t>
      </w:r>
    </w:p>
    <w:p w:rsidR="007A1659" w:rsidRPr="00121A5A" w:rsidRDefault="007A1659" w:rsidP="00860AA0">
      <w:pPr>
        <w:pStyle w:val="a3"/>
        <w:numPr>
          <w:ilvl w:val="0"/>
          <w:numId w:val="1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неможливість притягнення до адміністративної відповідальності осіб, винних у порушенні правил благоустрою через відсутність таких правил, затверджених уповноваженим органом.</w:t>
      </w:r>
    </w:p>
    <w:p w:rsidR="00860AA0" w:rsidRPr="00121A5A" w:rsidRDefault="00860AA0" w:rsidP="00860AA0">
      <w:pPr>
        <w:pStyle w:val="a3"/>
        <w:tabs>
          <w:tab w:val="left" w:pos="540"/>
        </w:tabs>
        <w:spacing w:before="100" w:beforeAutospacing="1" w:after="100" w:afterAutospacing="1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60AA0" w:rsidRPr="00121A5A" w:rsidRDefault="004460AA" w:rsidP="00860AA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Цілі державного регулювання</w:t>
      </w:r>
      <w:r w:rsidR="005B31DE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.</w:t>
      </w:r>
    </w:p>
    <w:p w:rsidR="00860AA0" w:rsidRPr="00121A5A" w:rsidRDefault="00860AA0" w:rsidP="00860AA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860AA0" w:rsidRPr="00121A5A" w:rsidRDefault="00860AA0" w:rsidP="00860AA0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Головними цілями державного регулювання у сфері благоустрою є:</w:t>
      </w:r>
    </w:p>
    <w:p w:rsidR="00860AA0" w:rsidRPr="00121A5A" w:rsidRDefault="00860AA0" w:rsidP="00860AA0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F9646F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встановлення чітких вимог до організації роботи підприємств, організацій, установ, приватних підприємців, мешканців 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виконанні робіт та заходів з благоустрою;</w:t>
      </w:r>
    </w:p>
    <w:p w:rsidR="007A1659" w:rsidRPr="00121A5A" w:rsidRDefault="007A1659" w:rsidP="00F9646F">
      <w:pPr>
        <w:pStyle w:val="a3"/>
        <w:numPr>
          <w:ilvl w:val="0"/>
          <w:numId w:val="2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надання суб'єктам підприємницької діяльності рівних гарантованих можливостей у здійсненні діяльності з благоустрою 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60AA0" w:rsidRPr="00121A5A" w:rsidRDefault="007A1659" w:rsidP="00F9646F">
      <w:pPr>
        <w:pStyle w:val="a3"/>
        <w:numPr>
          <w:ilvl w:val="0"/>
          <w:numId w:val="2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щодо захисту і відновлення сприятливого для життєдіяльно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 середовища, захист довкілля;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60AA0" w:rsidRPr="00121A5A" w:rsidRDefault="007A1659" w:rsidP="00F9646F">
      <w:pPr>
        <w:pStyle w:val="a3"/>
        <w:numPr>
          <w:ilvl w:val="0"/>
          <w:numId w:val="2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покращення санітарного стану та мікроклімату </w:t>
      </w:r>
      <w:r w:rsidR="00860AA0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зниження рівня шуму, збереження об'єктів та елементів благоустрою, у тому числі зелених насаджень, їх раціональне використання, належне утримання та охорона;</w:t>
      </w:r>
    </w:p>
    <w:p w:rsidR="007A1659" w:rsidRPr="00121A5A" w:rsidRDefault="007A1659" w:rsidP="00F9646F">
      <w:pPr>
        <w:pStyle w:val="a3"/>
        <w:numPr>
          <w:ilvl w:val="0"/>
          <w:numId w:val="22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реалізації свої прав суб'єктами у сфері благоустрою міста</w:t>
      </w:r>
      <w:r w:rsidR="00860AA0" w:rsidRPr="00121A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</w:p>
    <w:p w:rsidR="004460AA" w:rsidRPr="00121A5A" w:rsidRDefault="007A1659" w:rsidP="00BB79FD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lastRenderedPageBreak/>
        <w:t xml:space="preserve">3. </w:t>
      </w:r>
      <w:r w:rsidR="004460AA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Визначення та оцінка а альтернативних способів досягнення визначених цілей</w:t>
      </w:r>
      <w:r w:rsidR="005B31DE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.</w:t>
      </w:r>
    </w:p>
    <w:p w:rsidR="007A1659" w:rsidRPr="00121A5A" w:rsidRDefault="007A1659" w:rsidP="0069635C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Альтернативними способами досягнення </w:t>
      </w:r>
      <w:r w:rsidR="006F66E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цілей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регуляторного акту є:</w:t>
      </w:r>
    </w:p>
    <w:p w:rsidR="0069635C" w:rsidRPr="00121A5A" w:rsidRDefault="0069635C" w:rsidP="0069635C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F22E48" w:rsidP="0069635C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3.1.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Здійснення контролю за санітарним станом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зеленими насадженнями, іншими об’єктами та елементами благоустрою на підставі санітарних норм та інших правил по утриманню міст і населених пунктів та Кодексу про адміністративні правопорушення України.</w:t>
      </w:r>
    </w:p>
    <w:p w:rsidR="00F22E48" w:rsidRPr="00121A5A" w:rsidRDefault="00F22E48" w:rsidP="0069635C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3F88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Цей спосіб не в повній мірі враховує вимоги щодо утримання у належному санітарно-технічному стані тротуарів, доріг, вулиць, споруд, будівель, територій загального користування, зелених насаджень. Чинні норми певним чином застаріли та не дають змоги суб’єктам господарювання, територіальній громаді </w:t>
      </w:r>
      <w:r w:rsidR="00F22E48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окремим мешканцям ради використовувати свої права в галузі благоустрою.</w:t>
      </w:r>
    </w:p>
    <w:p w:rsidR="00583F88" w:rsidRPr="00121A5A" w:rsidRDefault="00583F88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Стаття 152 Кодексу України про адміністративні правопорушення (надалі - </w:t>
      </w:r>
      <w:proofErr w:type="spellStart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КУпАП</w:t>
      </w:r>
      <w:proofErr w:type="spellEnd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передбачає відповідальність за порушення правил благоустрою територій міст та інших населених пунктів, а також недодержання правил щодо забезпечення чистоти і порядку в містах та інших населених пунктах. Однак, вказаною статтею </w:t>
      </w:r>
      <w:proofErr w:type="spellStart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КУпАП</w:t>
      </w:r>
      <w:proofErr w:type="spellEnd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конкретизовано види порушень благоустрою. </w:t>
      </w:r>
    </w:p>
    <w:p w:rsidR="00461A21" w:rsidRPr="00121A5A" w:rsidRDefault="00461A21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Відсутність затверджених у встановленому законом порядку Правил благоустрою </w:t>
      </w:r>
      <w:r w:rsidR="00461A21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унеможливлює притягнення осіб, винних у порушені благоустрою до передбаченої законом відповідальності. </w:t>
      </w:r>
    </w:p>
    <w:p w:rsidR="00461A21" w:rsidRPr="00121A5A" w:rsidRDefault="00461A21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461A21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3.2.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Залучення юридичних та фізичних осіб до добровільного вчинення дій, направлених на утримання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 та об’єктів благоустрою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 у належному санітарному стані.</w:t>
      </w:r>
    </w:p>
    <w:p w:rsidR="00461A21" w:rsidRPr="00121A5A" w:rsidRDefault="00461A21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 до вказаних дій на добровільної основі не є методом, що забезпечує постійне докладання зусиль до збереження об’єктів та елементів благоустрою</w:t>
      </w:r>
      <w:r w:rsidR="006F66E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оскільки такі дії можуть вчинятися виключно на добровільній основі. Застосування такого способу є неефективним. </w:t>
      </w:r>
    </w:p>
    <w:p w:rsidR="00C14D7A" w:rsidRPr="00121A5A" w:rsidRDefault="00C14D7A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14006F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3.3.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Постійне приведення території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належний санітарний стан, вчинення дій по відновленню об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’єктів та елементів благоустрою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міського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бюджету.</w:t>
      </w:r>
    </w:p>
    <w:p w:rsidR="0014006F" w:rsidRPr="00121A5A" w:rsidRDefault="0014006F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Вказаний спосіб не може бути прийнятим</w:t>
      </w:r>
      <w:r w:rsidR="00243618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оскільки він не забезпечує відповідальне ставлення мешканців та суб’єктів господарювання до збереження об’єктів та елементів благоустрою</w:t>
      </w:r>
      <w:r w:rsidR="0014006F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цьому </w:t>
      </w:r>
      <w:r w:rsidR="0014006F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бюджет</w:t>
      </w:r>
      <w:r w:rsidR="0014006F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може забезпечити фінансування робіт з їх відновлення.  </w:t>
      </w:r>
    </w:p>
    <w:p w:rsidR="0014006F" w:rsidRPr="00121A5A" w:rsidRDefault="0014006F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0326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</w:t>
      </w:r>
      <w:r w:rsidR="00D80326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даного регуляторного акту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переважним </w:t>
      </w:r>
      <w:r w:rsidR="00D80326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способом досягнення поставлених цілей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 іншими</w:t>
      </w:r>
      <w:r w:rsidR="00D80326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80326" w:rsidRPr="00121A5A" w:rsidRDefault="00D80326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583F88">
      <w:pPr>
        <w:pStyle w:val="a3"/>
        <w:tabs>
          <w:tab w:val="left" w:pos="540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Перевагою обраного способу є формування прозорих вимог щодо проведення на території ради єдиної політики з підтримки благоустрою, формування сприятливого для життєдіяльності людини середовища, раціонального використання ресурсів територіальної громади, захисту довкілля.</w:t>
      </w:r>
    </w:p>
    <w:p w:rsidR="004460AA" w:rsidRPr="00121A5A" w:rsidRDefault="005B31DE" w:rsidP="007A165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4. </w:t>
      </w:r>
      <w:r w:rsidR="007A1659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 w:rsidR="004460AA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Механізм та заходи, що пропонуються для розв’язання проблеми</w:t>
      </w: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.</w:t>
      </w:r>
    </w:p>
    <w:p w:rsidR="007A1659" w:rsidRPr="00121A5A" w:rsidRDefault="007A1659" w:rsidP="007A1659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Проектом 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детально визначені основні вимоги щодо встановлення порядку комплексного виконання робіт з благоустрою та озеленення, санітарного очищення території, зниження рівня шуму, створення сприятливого для жит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тєдіяльності мешканців довкілля.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7A1659" w:rsidRPr="00121A5A" w:rsidRDefault="005B31DE" w:rsidP="007A1659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Правилами визначено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7A1659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сферу дії Правил та учасників правовідносин в цій сфері;</w:t>
      </w:r>
    </w:p>
    <w:p w:rsidR="007A1659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права та обов’язки громадян у сфері благоустрою території 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B31DE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права та обов’язки підприємств, установ та організацій, фізичних осіб – підприємців у сфері благоустрою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A1659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здійснення благоустрою та утримання території;</w:t>
      </w:r>
    </w:p>
    <w:p w:rsidR="007A1659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утримання елементів благоустрою;</w:t>
      </w:r>
    </w:p>
    <w:p w:rsidR="007A1659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у сфері благоустрою території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A1659" w:rsidRPr="00121A5A" w:rsidRDefault="007A1659" w:rsidP="005B31DE">
      <w:pPr>
        <w:pStyle w:val="a3"/>
        <w:numPr>
          <w:ilvl w:val="0"/>
          <w:numId w:val="15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відповідальність громадян та юридичних осіб за порушення Правил благоустрою 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Буча.</w:t>
      </w:r>
    </w:p>
    <w:p w:rsidR="004460AA" w:rsidRPr="00121A5A" w:rsidRDefault="004460AA" w:rsidP="004460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Реалізація запропонованого регулювання буде здійснюватися шляхом впровадження наступних заходів: </w:t>
      </w:r>
    </w:p>
    <w:p w:rsidR="00F42B28" w:rsidRPr="00121A5A" w:rsidRDefault="004460AA" w:rsidP="004460A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Адміністративно-правові:</w:t>
      </w:r>
      <w:r w:rsidRPr="00121A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br/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вироблення місцевого нормативно-правового документу, який в рамках чинного законодавства дасть можливість спростити, удосконалити та розробити прозорий механізм 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у сфері</w:t>
      </w:r>
      <w:r w:rsidR="00F42B28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31DE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благоустрою міста Буча</w:t>
      </w:r>
      <w:r w:rsidR="00F42B28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460AA" w:rsidRPr="00121A5A" w:rsidRDefault="004460AA" w:rsidP="004460A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Інформаційні:</w:t>
      </w:r>
    </w:p>
    <w:p w:rsidR="004460AA" w:rsidRPr="00121A5A" w:rsidRDefault="004460AA" w:rsidP="004460AA">
      <w:p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оприлюднення регуляторного акта в засобах масової інформації, з метою одержання зауважень і пропозицій від територіальної громади м. Буча.</w:t>
      </w:r>
    </w:p>
    <w:p w:rsidR="004460AA" w:rsidRPr="00121A5A" w:rsidRDefault="00DE5E65" w:rsidP="00227F4C">
      <w:pPr>
        <w:widowControl w:val="0"/>
        <w:shd w:val="clear" w:color="auto" w:fill="FFFFFF"/>
        <w:tabs>
          <w:tab w:val="left" w:pos="226"/>
          <w:tab w:val="left" w:pos="540"/>
        </w:tabs>
        <w:autoSpaceDE w:val="0"/>
        <w:autoSpaceDN w:val="0"/>
        <w:adjustRightInd w:val="0"/>
        <w:spacing w:after="0" w:line="322" w:lineRule="exact"/>
        <w:ind w:left="1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 w:eastAsia="ru-RU"/>
        </w:rPr>
        <w:t>5</w:t>
      </w:r>
      <w:r w:rsidR="00227F4C" w:rsidRPr="00121A5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 w:eastAsia="ru-RU"/>
        </w:rPr>
        <w:t>.</w:t>
      </w:r>
      <w:r w:rsidR="00227F4C" w:rsidRPr="00121A5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="004460AA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Можливість досягнення визначених цілей у разі прийняття регул</w:t>
      </w:r>
      <w:r w:rsidR="00574089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яторного </w:t>
      </w:r>
      <w:r w:rsidR="004460AA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акта</w:t>
      </w:r>
      <w:r w:rsidR="00C37926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.</w:t>
      </w:r>
    </w:p>
    <w:p w:rsidR="007A1659" w:rsidRPr="00121A5A" w:rsidRDefault="007A1659" w:rsidP="00DE5E65">
      <w:pPr>
        <w:tabs>
          <w:tab w:val="left" w:pos="0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рішення 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Бучанської міської ради «Про затвердження Положення про правила благоустрою міста Буча»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надає можливість:</w:t>
      </w:r>
    </w:p>
    <w:p w:rsidR="007A1659" w:rsidRPr="00121A5A" w:rsidRDefault="007A1659" w:rsidP="00BB79FD">
      <w:pPr>
        <w:pStyle w:val="a3"/>
        <w:numPr>
          <w:ilvl w:val="0"/>
          <w:numId w:val="16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докладно визначити основні вимоги при виконанні заходів з благоустрою та озелененню 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 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A1659" w:rsidRPr="00121A5A" w:rsidRDefault="007A1659" w:rsidP="00BB79FD">
      <w:pPr>
        <w:pStyle w:val="a3"/>
        <w:numPr>
          <w:ilvl w:val="0"/>
          <w:numId w:val="16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чіткі умови та порядок виконання робіт з комплек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ного благоустрою суб'єктами підприємницько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діяльності та мешканцями </w:t>
      </w:r>
      <w:r w:rsidR="00A45C65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A1659" w:rsidRPr="00121A5A" w:rsidRDefault="007A1659" w:rsidP="00BB79FD">
      <w:pPr>
        <w:pStyle w:val="a3"/>
        <w:numPr>
          <w:ilvl w:val="0"/>
          <w:numId w:val="16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залучити суб'єктів підприємницької діяльності для здійснення заходів 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благоустрою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B79FD" w:rsidRPr="00121A5A" w:rsidRDefault="007A1659" w:rsidP="00BB79FD">
      <w:pPr>
        <w:pStyle w:val="a3"/>
        <w:numPr>
          <w:ilvl w:val="0"/>
          <w:numId w:val="16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сприятливі умови щодо дотримання вимог Закону України "Про благоустрій населених пунктів".</w:t>
      </w:r>
    </w:p>
    <w:p w:rsidR="00BB79FD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досягнення цілей у разі прийняття цього рішення можуть вплинути такі позитивні зовнішні фактори, як:</w:t>
      </w:r>
    </w:p>
    <w:p w:rsidR="00BB79FD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BB79FD">
      <w:pPr>
        <w:pStyle w:val="a3"/>
        <w:numPr>
          <w:ilvl w:val="0"/>
          <w:numId w:val="17"/>
        </w:numPr>
        <w:tabs>
          <w:tab w:val="left" w:pos="54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відповідальне ставлення юридичних та фізичних осіб до збереження об’єктів та елементів благоустрою;</w:t>
      </w:r>
    </w:p>
    <w:p w:rsidR="007A1659" w:rsidRPr="00121A5A" w:rsidRDefault="007A1659" w:rsidP="00BB79FD">
      <w:pPr>
        <w:pStyle w:val="a3"/>
        <w:numPr>
          <w:ilvl w:val="0"/>
          <w:numId w:val="17"/>
        </w:numPr>
        <w:tabs>
          <w:tab w:val="left" w:pos="54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будь-якої господарської діяльності з додержанням санітарн</w:t>
      </w:r>
      <w:r w:rsidR="00BB79F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 та будівельних норм і правил.</w:t>
      </w:r>
    </w:p>
    <w:p w:rsidR="00BB79FD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До негативних факторів, що будуть перешкоджати досягненню поставлених цілей можна віднести </w:t>
      </w:r>
      <w:r w:rsidR="006A2EAD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нестачу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коштів для фінансування робіт по утриманню 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відновленню об'єктів та елементів благоустрою.</w:t>
      </w:r>
    </w:p>
    <w:p w:rsidR="004460AA" w:rsidRPr="00121A5A" w:rsidRDefault="004460AA" w:rsidP="004460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здійснюється за принципами: законності, гласності (відкритості, прозорості, загальнодоступності).</w:t>
      </w:r>
    </w:p>
    <w:p w:rsidR="00BB79FD" w:rsidRPr="00121A5A" w:rsidRDefault="00BB79FD" w:rsidP="004460A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60AA" w:rsidRPr="00121A5A" w:rsidRDefault="004460AA" w:rsidP="007A1659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lastRenderedPageBreak/>
        <w:t>Очікувані результати від прийняття регуляторного акту</w:t>
      </w:r>
      <w:r w:rsidR="00BB79FD"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.</w:t>
      </w:r>
    </w:p>
    <w:p w:rsidR="007A1659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очікуваних </w:t>
      </w:r>
      <w:r w:rsidR="007A1659" w:rsidRPr="00121A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позитивних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факторів прийняття регуляторного акта відносяться:</w:t>
      </w:r>
    </w:p>
    <w:p w:rsidR="00BB79FD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396E54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впорядкування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відносин між суб’єктами у сфері благоустрою;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реалізації прав громадян та суб’єктів господарювання у сфері благоустрою</w:t>
      </w:r>
      <w:r w:rsidR="00396E54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ефективне використання та збереження об’єктів та елементів благоустрою</w:t>
      </w:r>
      <w:r w:rsidR="00396E54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зелених насаджень;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покращення санітарного стану;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покращення та підтримка належного санітарно-технічного стану земельних ділянок, збереження і утримання доріг, вулиць, споруд, будівель, парків, </w:t>
      </w:r>
      <w:proofErr w:type="spellStart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рекламоносіїв</w:t>
      </w:r>
      <w:proofErr w:type="spellEnd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малих архітектурних форм для підприємницької діяльності, інших об’єктів та елементів благоустрою;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користування суспільними благами за рахунок покращення санітарного та технічного стану доріг, вулиць, парків, інших об'єктів та елементів благоустрою загального користування;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дотримання вимог чинного законодавства з охорони навколишнього природного середовища, запобігання забрудненню земель побутовими відходами, покращення мікроклімату;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покрашення рівня благоустрою територій та санітарного стану</w:t>
      </w:r>
      <w:r w:rsidR="00396E54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сталого розвитку</w:t>
      </w:r>
      <w:r w:rsidR="00932062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надходження у місцевий бюджет сум фінансових санкцій за порушення правил благоустрою </w:t>
      </w:r>
      <w:r w:rsidR="00932062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7A1659" w:rsidRPr="00121A5A" w:rsidRDefault="007A1659" w:rsidP="00BB79FD">
      <w:pPr>
        <w:pStyle w:val="a3"/>
        <w:numPr>
          <w:ilvl w:val="0"/>
          <w:numId w:val="19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вигодами від прийняття акта буде користуватись вся територіальна громада</w:t>
      </w:r>
      <w:r w:rsidR="00932062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міста Буча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B79FD" w:rsidRPr="00121A5A" w:rsidRDefault="00BB79FD" w:rsidP="00BB79FD">
      <w:pPr>
        <w:pStyle w:val="a3"/>
        <w:tabs>
          <w:tab w:val="left" w:pos="540"/>
        </w:tabs>
        <w:spacing w:before="100" w:beforeAutospacing="1" w:after="100" w:afterAutospacing="1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A213E1" w:rsidP="00A213E1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очікуваних </w:t>
      </w:r>
      <w:r w:rsidR="007A1659" w:rsidRPr="00121A5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негативних </w:t>
      </w:r>
      <w:r w:rsidR="007A1659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факторів прийняття регуляторного акта можна віднести необхідність витрачання громадянами та суб’єктами господарювання коштів:</w:t>
      </w:r>
    </w:p>
    <w:p w:rsidR="00A213E1" w:rsidRPr="00121A5A" w:rsidRDefault="00A213E1" w:rsidP="00A213E1">
      <w:pPr>
        <w:pStyle w:val="a3"/>
        <w:tabs>
          <w:tab w:val="left" w:pos="54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1659" w:rsidRPr="00121A5A" w:rsidRDefault="007A1659" w:rsidP="00A213E1">
      <w:pPr>
        <w:pStyle w:val="a3"/>
        <w:numPr>
          <w:ilvl w:val="0"/>
          <w:numId w:val="20"/>
        </w:numPr>
        <w:tabs>
          <w:tab w:val="left" w:pos="540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оплату вивезення твердих побутових відходів, сміття; </w:t>
      </w:r>
    </w:p>
    <w:p w:rsidR="007A1659" w:rsidRPr="00121A5A" w:rsidRDefault="007A1659" w:rsidP="00A213E1">
      <w:pPr>
        <w:pStyle w:val="a3"/>
        <w:numPr>
          <w:ilvl w:val="0"/>
          <w:numId w:val="20"/>
        </w:numPr>
        <w:tabs>
          <w:tab w:val="left" w:pos="540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витрати на утримання в належному санітарному стані власних або орендованих земельних ділянок та прилеглих до них територій, зелених насаджень, будівель тощо; </w:t>
      </w:r>
    </w:p>
    <w:p w:rsidR="007A1659" w:rsidRPr="00121A5A" w:rsidRDefault="007A1659" w:rsidP="00A213E1">
      <w:pPr>
        <w:pStyle w:val="a3"/>
        <w:numPr>
          <w:ilvl w:val="0"/>
          <w:numId w:val="20"/>
        </w:numPr>
        <w:tabs>
          <w:tab w:val="left" w:pos="540"/>
        </w:tabs>
        <w:spacing w:before="100" w:beforeAutospacing="1" w:after="100" w:afterAutospacing="1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на встановлення урн та підтримання у належному санітарному стані територій, прилеглих до об’єктів вуличної торгівлі, іншим малим архітектурним формам для підприємницької діяльності, які належать суб'єктам господарювання.</w:t>
      </w:r>
    </w:p>
    <w:p w:rsidR="007A1659" w:rsidRPr="00121A5A" w:rsidRDefault="007A1659" w:rsidP="00A213E1">
      <w:pPr>
        <w:tabs>
          <w:tab w:val="left" w:pos="540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проекті регуляторного акта визначені вимоги, виконання яких є життєво необхідним. Вимоги будуть обов’язковими для громадян та суб'єктів господарювання. Суб’єкти господарювання, мешканці </w:t>
      </w:r>
      <w:r w:rsidR="00A213E1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Буча 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межах чинного законодавства будуть самостійно обирати шляхи утриманням в належному санітарному стані власних або орендованих земельних ділянок, прилеглих до них територій, зелених насаджень, об’єктів благоустрою з найменшими фінансовими витратами.</w:t>
      </w:r>
    </w:p>
    <w:p w:rsidR="004460AA" w:rsidRPr="00121A5A" w:rsidRDefault="004460AA" w:rsidP="007A1659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Обґрунтування строку дії регуляторного акту</w:t>
      </w:r>
    </w:p>
    <w:p w:rsidR="004460AA" w:rsidRPr="00121A5A" w:rsidRDefault="004460AA" w:rsidP="004460AA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 дії регуляторного акту необмежений, проте можливий вплив зовнішніх чинників, а саме внесення змін до законодавчих і нормативно - правових актів. У такому разі регуляторний акт буде переглянуто із внесенням до нього відповідних змін.</w:t>
      </w:r>
    </w:p>
    <w:p w:rsidR="00860AA0" w:rsidRPr="00121A5A" w:rsidRDefault="00860AA0" w:rsidP="004460AA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60AA0" w:rsidRPr="00121A5A" w:rsidRDefault="00860AA0" w:rsidP="00A213E1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8. Показники результативності регуляторного акту.</w:t>
      </w:r>
    </w:p>
    <w:p w:rsidR="00860AA0" w:rsidRPr="00121A5A" w:rsidRDefault="00860AA0" w:rsidP="00860AA0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Показники результативності зазначеного акту передбачається визначити за наступними критеріями:</w:t>
      </w:r>
    </w:p>
    <w:p w:rsidR="00860AA0" w:rsidRPr="00121A5A" w:rsidRDefault="00860AA0" w:rsidP="00A213E1">
      <w:pPr>
        <w:pStyle w:val="a3"/>
        <w:numPr>
          <w:ilvl w:val="0"/>
          <w:numId w:val="21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кількості порушень правил благоустрою, які обчислюються відповідно до кількості протоколів про адміністративні правопорушення за ст.152 </w:t>
      </w:r>
      <w:proofErr w:type="spellStart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КУпАП</w:t>
      </w:r>
      <w:proofErr w:type="spellEnd"/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60AA0" w:rsidRPr="00121A5A" w:rsidRDefault="00860AA0" w:rsidP="00A213E1">
      <w:pPr>
        <w:pStyle w:val="a3"/>
        <w:numPr>
          <w:ilvl w:val="0"/>
          <w:numId w:val="21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розміри витрачених коштів на відновлення благоустрою особами, які погіршують його стан у процесі господарської діяльності (будівництво, прокладання підземних та наземних інженерних споруд) або у разі аварій, інших дій;</w:t>
      </w:r>
    </w:p>
    <w:p w:rsidR="00860AA0" w:rsidRPr="00121A5A" w:rsidRDefault="00860AA0" w:rsidP="00A213E1">
      <w:pPr>
        <w:pStyle w:val="a3"/>
        <w:numPr>
          <w:ilvl w:val="0"/>
          <w:numId w:val="21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обсяг послуг з проведення благоустрою території </w:t>
      </w:r>
      <w:r w:rsidR="00A213E1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</w:t>
      </w:r>
      <w:r w:rsidR="00A213E1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міського </w:t>
      </w:r>
      <w:r w:rsidR="00BC003A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бюджету.</w:t>
      </w:r>
    </w:p>
    <w:p w:rsidR="00860AA0" w:rsidRPr="00121A5A" w:rsidRDefault="00860AA0" w:rsidP="00CC3C66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121A5A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9. Заходи, за допомогою яких буде здійснюватися відстеження результативності акту.</w:t>
      </w:r>
    </w:p>
    <w:p w:rsidR="00860AA0" w:rsidRPr="00121A5A" w:rsidRDefault="00860AA0" w:rsidP="00860AA0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Результативність даного регуляторного акта буде відстежуватись виконавчим комітетом </w:t>
      </w:r>
      <w:r w:rsidR="00CC3C66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ради.</w:t>
      </w:r>
    </w:p>
    <w:p w:rsidR="00860AA0" w:rsidRPr="00121A5A" w:rsidRDefault="00860AA0" w:rsidP="00860AA0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Оцінка ефективності регуляторного акту буде здійснена за допомогою проведення базового, повторного та періодичного відстеження результативності регуляторного акту. </w:t>
      </w:r>
    </w:p>
    <w:p w:rsidR="00860AA0" w:rsidRPr="004460AA" w:rsidRDefault="00860AA0" w:rsidP="00860AA0">
      <w:pPr>
        <w:tabs>
          <w:tab w:val="left" w:pos="54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базового відстеження здійснюється протягом шести місяців з дня прийняття П</w:t>
      </w:r>
      <w:r w:rsidR="00CC3C66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оложення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Повторне відстеження результативності акта здійснюється через рік, після набрання чинності </w:t>
      </w:r>
      <w:r w:rsidR="00CC3C66"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даного рішення</w:t>
      </w:r>
      <w:r w:rsidRPr="0012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періодичне – 1 раз на 3 роки.</w:t>
      </w:r>
    </w:p>
    <w:p w:rsidR="00494582" w:rsidRPr="004460AA" w:rsidRDefault="00494582" w:rsidP="004460AA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494582" w:rsidRPr="004460AA" w:rsidSect="00BB79FD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01BA"/>
    <w:multiLevelType w:val="hybridMultilevel"/>
    <w:tmpl w:val="DF9E4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62076"/>
    <w:multiLevelType w:val="hybridMultilevel"/>
    <w:tmpl w:val="2600283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4A11A1"/>
    <w:multiLevelType w:val="hybridMultilevel"/>
    <w:tmpl w:val="F84C357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2124D1"/>
    <w:multiLevelType w:val="hybridMultilevel"/>
    <w:tmpl w:val="31E480B2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8CE26A3"/>
    <w:multiLevelType w:val="hybridMultilevel"/>
    <w:tmpl w:val="EE723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EC350C"/>
    <w:multiLevelType w:val="hybridMultilevel"/>
    <w:tmpl w:val="75FCBA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C9271F"/>
    <w:multiLevelType w:val="hybridMultilevel"/>
    <w:tmpl w:val="DC4AA21E"/>
    <w:lvl w:ilvl="0" w:tplc="7E480C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43998"/>
    <w:multiLevelType w:val="hybridMultilevel"/>
    <w:tmpl w:val="907A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5446C"/>
    <w:multiLevelType w:val="hybridMultilevel"/>
    <w:tmpl w:val="2A0697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1F21D7"/>
    <w:multiLevelType w:val="hybridMultilevel"/>
    <w:tmpl w:val="F8B4AB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65746"/>
    <w:multiLevelType w:val="hybridMultilevel"/>
    <w:tmpl w:val="A3E04C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82051"/>
    <w:multiLevelType w:val="hybridMultilevel"/>
    <w:tmpl w:val="E2662086"/>
    <w:lvl w:ilvl="0" w:tplc="2EB07C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01225"/>
    <w:multiLevelType w:val="hybridMultilevel"/>
    <w:tmpl w:val="A484E6D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4240CB"/>
    <w:multiLevelType w:val="hybridMultilevel"/>
    <w:tmpl w:val="EC169C7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64429D"/>
    <w:multiLevelType w:val="hybridMultilevel"/>
    <w:tmpl w:val="8B84BDF2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685A0B78"/>
    <w:multiLevelType w:val="hybridMultilevel"/>
    <w:tmpl w:val="9FD078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26A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D059B"/>
    <w:multiLevelType w:val="hybridMultilevel"/>
    <w:tmpl w:val="600A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012C3F"/>
    <w:multiLevelType w:val="hybridMultilevel"/>
    <w:tmpl w:val="130CF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774A5"/>
    <w:multiLevelType w:val="hybridMultilevel"/>
    <w:tmpl w:val="4F1435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D7D7CB2"/>
    <w:multiLevelType w:val="hybridMultilevel"/>
    <w:tmpl w:val="F9E46A0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8"/>
  </w:num>
  <w:num w:numId="5">
    <w:abstractNumId w:val="10"/>
  </w:num>
  <w:num w:numId="6">
    <w:abstractNumId w:val="16"/>
  </w:num>
  <w:num w:numId="7">
    <w:abstractNumId w:val="20"/>
  </w:num>
  <w:num w:numId="8">
    <w:abstractNumId w:val="5"/>
  </w:num>
  <w:num w:numId="9">
    <w:abstractNumId w:val="7"/>
  </w:num>
  <w:num w:numId="10">
    <w:abstractNumId w:val="17"/>
  </w:num>
  <w:num w:numId="11">
    <w:abstractNumId w:val="12"/>
  </w:num>
  <w:num w:numId="12">
    <w:abstractNumId w:val="21"/>
  </w:num>
  <w:num w:numId="13">
    <w:abstractNumId w:val="0"/>
  </w:num>
  <w:num w:numId="14">
    <w:abstractNumId w:val="2"/>
  </w:num>
  <w:num w:numId="15">
    <w:abstractNumId w:val="13"/>
  </w:num>
  <w:num w:numId="16">
    <w:abstractNumId w:val="1"/>
  </w:num>
  <w:num w:numId="17">
    <w:abstractNumId w:val="11"/>
  </w:num>
  <w:num w:numId="18">
    <w:abstractNumId w:val="19"/>
  </w:num>
  <w:num w:numId="19">
    <w:abstractNumId w:val="15"/>
  </w:num>
  <w:num w:numId="20">
    <w:abstractNumId w:val="9"/>
  </w:num>
  <w:num w:numId="21">
    <w:abstractNumId w:val="1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D1F"/>
    <w:rsid w:val="00044D64"/>
    <w:rsid w:val="000F0C10"/>
    <w:rsid w:val="000F52DC"/>
    <w:rsid w:val="00121A5A"/>
    <w:rsid w:val="0014006F"/>
    <w:rsid w:val="00165E34"/>
    <w:rsid w:val="001C01F9"/>
    <w:rsid w:val="001F7440"/>
    <w:rsid w:val="00227F4C"/>
    <w:rsid w:val="00243618"/>
    <w:rsid w:val="0025712C"/>
    <w:rsid w:val="002856FD"/>
    <w:rsid w:val="003415AB"/>
    <w:rsid w:val="00353175"/>
    <w:rsid w:val="00365F0C"/>
    <w:rsid w:val="00396E54"/>
    <w:rsid w:val="003A2966"/>
    <w:rsid w:val="003A6EAA"/>
    <w:rsid w:val="004460AA"/>
    <w:rsid w:val="00461A21"/>
    <w:rsid w:val="00494582"/>
    <w:rsid w:val="004F48D7"/>
    <w:rsid w:val="00515257"/>
    <w:rsid w:val="00574089"/>
    <w:rsid w:val="00583F88"/>
    <w:rsid w:val="005B0409"/>
    <w:rsid w:val="005B31DE"/>
    <w:rsid w:val="00674CDE"/>
    <w:rsid w:val="00674D1F"/>
    <w:rsid w:val="0069635C"/>
    <w:rsid w:val="006A2EAD"/>
    <w:rsid w:val="006F66E9"/>
    <w:rsid w:val="006F6E19"/>
    <w:rsid w:val="00727B87"/>
    <w:rsid w:val="007A1659"/>
    <w:rsid w:val="007A62BF"/>
    <w:rsid w:val="007C11C1"/>
    <w:rsid w:val="007C13B6"/>
    <w:rsid w:val="007E1155"/>
    <w:rsid w:val="007E19BF"/>
    <w:rsid w:val="00802478"/>
    <w:rsid w:val="0081396D"/>
    <w:rsid w:val="008141AA"/>
    <w:rsid w:val="0085741A"/>
    <w:rsid w:val="00860AA0"/>
    <w:rsid w:val="0088124B"/>
    <w:rsid w:val="00881ABD"/>
    <w:rsid w:val="008E11DD"/>
    <w:rsid w:val="00900678"/>
    <w:rsid w:val="0090670E"/>
    <w:rsid w:val="00932062"/>
    <w:rsid w:val="00A213E1"/>
    <w:rsid w:val="00A410E1"/>
    <w:rsid w:val="00A45C65"/>
    <w:rsid w:val="00B454A2"/>
    <w:rsid w:val="00BB53F6"/>
    <w:rsid w:val="00BB79FD"/>
    <w:rsid w:val="00BC003A"/>
    <w:rsid w:val="00BC78DA"/>
    <w:rsid w:val="00C12B16"/>
    <w:rsid w:val="00C14D7A"/>
    <w:rsid w:val="00C37926"/>
    <w:rsid w:val="00C411F3"/>
    <w:rsid w:val="00C86FC2"/>
    <w:rsid w:val="00CC3C66"/>
    <w:rsid w:val="00D80326"/>
    <w:rsid w:val="00DE5E65"/>
    <w:rsid w:val="00E41719"/>
    <w:rsid w:val="00E74429"/>
    <w:rsid w:val="00EB46C2"/>
    <w:rsid w:val="00F22E48"/>
    <w:rsid w:val="00F30D68"/>
    <w:rsid w:val="00F41296"/>
    <w:rsid w:val="00F42B28"/>
    <w:rsid w:val="00F5628B"/>
    <w:rsid w:val="00F75749"/>
    <w:rsid w:val="00F9646F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28"/>
    <w:pPr>
      <w:ind w:left="720"/>
      <w:contextualSpacing/>
    </w:pPr>
  </w:style>
  <w:style w:type="paragraph" w:styleId="a4">
    <w:name w:val="Normal (Web)"/>
    <w:basedOn w:val="a"/>
    <w:rsid w:val="00674C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7462</Words>
  <Characters>4254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2012-04-09T12:57:00Z</dcterms:created>
  <dcterms:modified xsi:type="dcterms:W3CDTF">2012-12-26T07:52:00Z</dcterms:modified>
</cp:coreProperties>
</file>